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705/95, interpuesto por don Francisco Monforte Sancho, representado por el Procurador de los Tribunales don José Luis Barneto Arnáiz y bajo la dirección del Letrado don Miguel R. Mancebo Monge, frente a la Sentencia de la Sección Sexta de la Sala Tercera del Tribunal Supremo, de 23 de enero de 1995, recaída sobre el recurso contencioso- administrativo núm. 240/90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 de marzo de 1995, don Francisco Monforte Sancho, bajo la representación procesal del Procurador de los Tribunales Sr. Barneto Arnáiz, interpuso demanda de amparo constitucional contra la Sentencia de la Sala Tercera del Tribunal Supremo (Sección Sexta), de 23 de enero de 1995, recaída en el recurso contencioso-administrativo núm. 240/90,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 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5 de julio de 1988, esto es, un año y un día después de la fecha de la publicación de la Sentencia, aunque dos días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la Sentencia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Cuarta acordó admitir a trámite la demanda. Asimismo, y de conformidad con lo dispuesto en el art. 51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25 de septiembre de 1995, la Sección Tercera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18 de octubre de 1995, en el que se resumen y reiteran cuantos argumentos fueron ya expuestos en el escrito de interposición de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solo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Ley de la Jurisdicción Contencioso-Administrativa,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el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 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23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142.2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6 de noviembre de 1997, la Sala acordó señalar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STC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novente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