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1.123/96 promovido por don Gregorio Barahona Yébenes, representado por el Procurador de los Tribunales don Ángel Martín Gutiérrez y asistido del Letrado don Juan Durán Fuentes, contra la Sentencia de la Sala de lo Social del Tribunal Superior de Justicia de Madrid, de 9 de junio de 1995, dictada en procedimiento de tutela de derechos fundamentales. Han comparecido el Ministerio Fiscal y la Red Nacional de los Ferrocarriles Españoles (RENFE), representada por la Procuradora doña Teresa de las Alas- Pumariño Larrañaga y asistida del Letrado don Luis Díaz-Guerra Álvarez.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marzo de 1996 el Procurador de los Tribunales don Ángel Martín Gutiérrez, en nombre y representación de don Gregorio Barahona Yébenes, interpuso recurso de amparo contra la Sentencia de la Sala de lo Social del Tribunal Superior de Justicia de Madrid, de 9 de junio de 1995, estimatoria del recurso de suplicación interpuesto contra la dictada por el Juzgado de lo Social núm. 26 de Madrid el 24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Su horario de trabajo es de 22.00 horas a las 6.00 horas de la mañana siguiente.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El recurrente no participó en la huelga, cuyas distribuciones horarias no coincidían con su horario de trabajo, pese a lo cual la empresa procedió a descontarle su salario como si lo hubiera hecho. Dicho descuento afectó al actor en su nómina de mayo de 1994 en una cuantía total de 19.779 ptas.-ya reintegradas- y le fue practicado por la empresa sin otro criterio que el de su afiliación al sindicato CC.OO., de lo cual tenía constancia la patronal porque mensualmente le descuenta la cuota sindical en la nómina, a través de la clave 893. De los 150 trabajadores que, aproximadamente, prestan servicios en la gerencia de máquinas de vía, la empresa procedió a descontar los salarios a todos los afiliados a CC.OO., hubieran o no participado en la huelga.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26 de Madrid, en Sentencia de 24 de octubre de 1994, estimó en parte la demanda y declaró lesionado el derecho de libertad sindical del actor, condenando a la empresa a que le abone la indemnización de 100.000 ptas., porque sólo el ejercicio más elemental de su contenido -la afiliación- fue la causa de los descuentos salariales por huelga sufridos por el demandate, pese a no haber participado en ella.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9 de junio de 1995, estimó el recurso y revocó la de instancia absolviendo a la demandada. En síntesis, el órgano judicial rechazó la vulneración de derechos fundamentales al no apreciar en la conducta empresarial un animus laedendi. No se habría producido violación del derecho fundamental de libertad sindical (art. 28.1 C.E.) toda vez que, de un lado, ante la falta de información puntual sobre el seguimiento de los paros, la empresa se limitó en cierto modo a asumir la afirmación de la central sindical acerca de que sus afiliados habían secundado mayoritariamente la huelga. Además, ante las reclamaciones habidas, RENFE impulsó un sistema de captación especial de incidencias a través de su personal ad hoc y de los mismos empleados que, sin haber secundado la huelga, habían sufrido descuentos por tal causa, procediéndose, cual en el caso que nos ocupa, y en la totalidad de los casos similares, a reintegrar lo detraido. De otro lado, como ya se argumentara, se afirma la total inexistencia de animus laedendi en la conducta empresarial, sin que tampoco de la actuación empresarial quepa deducir la concurrencia de culpa grave. Respecto del art. 18 de la C.E. precisaba que "la intimidad y la privacidad de los datos personales ideológicos, en tanto voluntariamente ofrecidos a la contraparte, transcienden de ese mundo reservado para incardinarse en la relación laboral o profesional como un elemento más de conocimiento ..." (cfr. fundamento de Derecho séptimo).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18 de diciembre de 1995, al no ser firmes las Sentencias invocadas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Además, la Sentencia incide asimismo en incongruencia al alterar los términos del debate litigioso. El trabajador no pudo materialmente seguir la huelga porque su horario no coincidía con el de los paros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de la C.E., la demanda reproduce la fundamentación de la Sentencia del Juzgado de lo Social núm. 8 de Madrid de 5 de diciembre de 1994, donde, en un supuesto idéntico, se afirmaba que el trabajador tiene derecho a no ser perturbado en el ejercicio de su opción sindical y consiguientemente a que su opción no sea manipulada o utilizada en ámbitos de transcendencia distinta de la esfera en que nace, y mucho menos para favorecerse ilícitamente de ello el empleador. La demanda estima del mismo modo vulnerado el derecho fundamental contenido en el art. 18.4 C.E., en relación con el art. 4 de la Ley Orgánica 5/1992, respecto del uso informático que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11 de abril de 1996 acordó, conforme determina el art. 50.5 LOTC, conceder al recurrente un plazo de diez días para que aportara copia de la Sentencia del Juzgado de lo Social núm. 26 de Madrid, y de la Sala de lo Social del T.S.J. de Madrid, y acredite la fecha de notificación de esta última Sentencia, haber invocado en la jurisdicción ordinaria el derecho constitucional que estima vulneado, y la representación procesal que dice ostentar el Procurador Sr. Martín Gutierrez. </w:t>
      </w:r>
    </w:p>
    <w:p w:rsidRPr="00C21FFE" w:rsidR="00F31FAF" w:rsidRDefault="00356547">
      <w:pPr>
        <w:rPr/>
      </w:pPr>
      <w:r w:rsidRPr="&lt;w:rPr xmlns:w=&quot;http://schemas.openxmlformats.org/wordprocessingml/2006/main&quot;&gt;&lt;w:lang w:val=&quot;es-ES_tradnl&quot; /&gt;&lt;/w:rPr&gt;">
        <w:rPr/>
        <w:t xml:space="preserve">Cumplimentado el requerimiento, la Sección, en providencia de 15 de julio de 1996, acordó admitir a trámite la demanda de amparo y, en aplicación de lo dispuesto en el art. 51 LOTC, requerir atentamente a la Sala de lo Social del Tribunal Superior de Justicia de Madrid y al Juzgado de lo Social núm. 26 de dicha capital para que remitan testimonio de las actuaciones y practiquen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en providencia de 7 de octubre de 1996, acordó tener por personada y parte a la Procuradora doña María Teresa de las Alas-Pumariño Larrañaga, en nombre y representación de RENFE; y dar vista de las actuaciones recibidas por un plazo común de veinte días al Ministerio Fiscal y a las partes personadas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formuló alegaciones, dando en primer lugar por reproducidas las de la demanda inicial. Respecto de la vulneración del art. 24.1 C.E. precisó con cita de la STC 204/1991 que el recurso de suplicación está configurado como un recurso extraordinario, no se trata de un recurso de apelación, ni de una segunda instancia. La Sentencia recurrida mantiene inalterado el hecho probado 1º, según el cual el descuento salarial obedeció a la afiliación sindical. La Sala aun cuando entendiera que el descuento se debiera a un error de la empresa, no puede obviar el hecho probado 1º, pues ello implica valorar de nuevo la prueba practicada rebasando sus facultades. </w:t>
      </w:r>
    </w:p>
    <w:p w:rsidRPr="00C21FFE" w:rsidR="00F31FAF" w:rsidRDefault="00356547">
      <w:pPr>
        <w:rPr/>
      </w:pPr>
      <w:r w:rsidRPr="&lt;w:rPr xmlns:w=&quot;http://schemas.openxmlformats.org/wordprocessingml/2006/main&quot;&gt;&lt;w:lang w:val=&quot;es-ES_tradnl&quot; /&gt;&lt;/w:rPr&gt;">
        <w:rPr/>
        <w:t xml:space="preserve">En cuanto al fondo del asunto destacó que sobre la cuestión controvertida se sustanciaron procedimientos ante los Juzgados de lo Social de Madrid, que resultaron condenatorios para RENFE en su gran mayoría, aunque el Tribunal Superior de Justicia revocó en suplicación las entencias de instancia. Resulta ilustrativo, se afirma, aportar copia de la resolución sncionadora 96/95 recaida en el procedimiento 19/95, instruido por la Agencia de Protección de Datos a RENFE, por estos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RENFE solicitó la desestimación del amparo. En cuanto a la situación fáctica de la que parte la demanda de amparo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 de 1 de octubre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a su juicio, que contengan unos hechos, fundamentos y pretensiones sustancialmente iguales cuando el problema suscitado es de naturaleza procesal; por ejemplo, la Sentencia del Tribunal Constitucional de 30 de octubre de 1991, y la de la Sala de lo Social del Tribunal Superior de Justicia de Extremadura de 28 de septiembre de 1995, que también puede ofrecerse como término de contraste.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se afirma que tales preceptos no se citaron como infringidos en el escrito de preparación del recurso de casación para la unificación de doctrina, y se subraya que el recurrente nada razona ni expone, sino que contrapone los fundamentos jurídicos de la Sentencia de instancia con los de la del Tribunal Superior de Justicia de Madrid que combate, por lo que la demanda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y el Sindicato CC.OO.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el otorgamiento del amparo por lesión del derecho de libertad sindical. Ante todo, plantea el problema de si puede entenderse cumplido el requisito previsto en el art. 44.1 a) LOTC por la utilización incorrecta del recurso interpuesto por el actor, constándole la carencia de firmeza de las Sentencias contradictorias, lo que produjo la inadmisión del recurso de casación para la unificación de doctrina, aunque finalmente descarta el obstáculo en aras del principio pro actione y ante la inexistencia de una jurisprudencia consolidada sobre el agotamiento defectuoso y los casos que este concepto abarca.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Lo realmente importante radica en la afirmación de que la utilización desviada de un dato cedido voluntariamente para otro fin (téngase en cuenta el art. 4.2 de la Ley Orgánica 5/1992) puede incidir directamente en la intimidad del individuo. Por ello seguramente la Agencia de Protección de Datos sancionó a RENFE con una multa de 50.000.001 ptas, en resolución de 18 de diciembre de 1995.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octubre de 1998, se señaló para deliberación y votación de esta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Este Tribunal ya ha resuelto numerosos recursos de amparo cuyo objeto eran Sentencias dictadas también por la Sala de lo Social del Tribunal Superior de Justicia de Madrid, en supuestos de hecho sustancialmente iguales al presente y a las que los</w:t>
      </w:r>
    </w:p>
    <w:p w:rsidRPr="00C21FFE" w:rsidR="00F31FAF" w:rsidRDefault="00356547">
      <w:pPr>
        <w:rPr/>
      </w:pPr>
      <w:r w:rsidRPr="&lt;w:rPr xmlns:w=&quot;http://schemas.openxmlformats.org/wordprocessingml/2006/main&quot;&gt;&lt;w:lang w:val=&quot;es-ES_tradnl&quot; /&gt;&lt;/w:rPr&gt;">
        <w:rPr/>
        <w:t xml:space="preserve">recurrentes imputaban las mismas tachas de inconstitucionalidad fundadas en iguales argumentos y la empresa alegaba la misma excepción de procedibilidad. En todos ellos se ha otorgado el amparo por vulneración de los art. 28.1 C.E. en conexión con el</w:t>
      </w:r>
    </w:p>
    <w:p w:rsidRPr="00C21FFE" w:rsidR="00F31FAF" w:rsidRDefault="00356547">
      <w:pPr>
        <w:rPr/>
      </w:pPr>
      <w:r w:rsidRPr="&lt;w:rPr xmlns:w=&quot;http://schemas.openxmlformats.org/wordprocessingml/2006/main&quot;&gt;&lt;w:lang w:val=&quot;es-ES_tradnl&quot; /&gt;&lt;/w:rPr&gt;">
        <w:rPr/>
        <w:t xml:space="preserve">art.  18.4 C.E., y no así por la infracción también denunciada del art. 24.1 C.E. cuyo contenido no engarza con el de los derechos fundamentales controvertidos (SSTC 11/1998, 33/1998, 35/1998, 60/1998, 77/1998, 94/1998, 104/1998, 105/1998, 106/1998,</w:t>
      </w:r>
    </w:p>
    <w:p w:rsidRPr="00C21FFE" w:rsidR="00F31FAF" w:rsidRDefault="00356547">
      <w:pPr>
        <w:rPr/>
      </w:pPr>
      <w:r w:rsidRPr="&lt;w:rPr xmlns:w=&quot;http://schemas.openxmlformats.org/wordprocessingml/2006/main&quot;&gt;&lt;w:lang w:val=&quot;es-ES_tradnl&quot; /&gt;&lt;/w:rPr&gt;">
        <w:rPr/>
        <w:t xml:space="preserve">123/1998, 124/1998, 125/1998, 126/1998).</w:t>
      </w:r>
    </w:p>
    <w:p w:rsidRPr="00C21FFE" w:rsidR="00F31FAF" w:rsidRDefault="00356547">
      <w:pPr>
        <w:rPr/>
      </w:pPr>
      <w:r w:rsidRPr="&lt;w:rPr xmlns:w=&quot;http://schemas.openxmlformats.org/wordprocessingml/2006/main&quot;&gt;&lt;w:lang w:val=&quot;es-ES_tradnl&quot; /&gt;&lt;/w:rPr&gt;">
        <w:rPr/>
        <w:t xml:space="preserve">Procede, pues, aplicar al presente caso la doctrina contenida en dichas sentencias que llegaron a la conclusión de que se infringían los arts. 28.1 en conexión con el 18.4 de la Constitución, toda vez que este último precepto no sólo entraña un específico instrumento de protección de los derechos del ciudadano frente al uso torticero de la tecnología informática, sino que consagra un derecho fundamental a controlar el flujo de informaciones que conciernen a cada persona, pertenezcan o no al ámbito más estricto de la intimidad, para así preservar el pleno ejercicio de sus derechos. Trata de evitar, pues, que la informatización de los datos propicie comportamientos dicriminatorios. Y aquí se utilizó un dato proporcionado para una determinada finalidad, para otra radicalmente distinta perjudicando con ello el legítimo ejercicio del derecho de libertad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Gregorio Barahona Yébenes y, en consecuencia:</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libertad sindical.</w:t>
      </w:r>
    </w:p>
    <w:p w:rsidRPr="" w:rsidR="00F31FAF" w:rsidRDefault="00356547">
      <w:pPr>
        <w:rPr/>
      </w:pPr>
      <w:r w:rsidRPr="&lt;w:rPr xmlns:w=&quot;http://schemas.openxmlformats.org/wordprocessingml/2006/main&quot;&gt;&lt;w:szCs w:val=&quot;24&quot; /&gt;&lt;/w:rPr&gt;">
        <w:rPr/>
        <w:t xml:space="preserve">2º Restablecerle en el mismo a cuyo efecto se declara la nulidad de la Sentencia de la Sala de lo Social del Tribunal Superior de Justicia de Madrid de 9 de junio de 1995, recaída en el recurso de suplicación núm. 373/95.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