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4989-2001, promovida por la Sección Segunda de la Sala de lo Contencioso-Administrativo del Tribunal Superior de Justicia del País Vasco en relación con el artículo único, apartado 1, párrafo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septiembre de 2001 fue registrado en este Tribunal oficio de fecha 18 de septiembre de 2001, remitido por la Sala de lo Contencioso-Administrativo (Sección Segunda) del Tribunal Superior de Justicia del País Vasco, al que se adjuntaba, entre otros testimonios, el del Auto del mismo órgano judicial, de 13 de julio de 2001, por el que se acuerda plantear cuestión de inconstitucionalidad en relación con el artículo único, apartado 1, párrafo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En suelo urbano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En el supuesto de obras de rehabilitación, únicamente corresponderá al Ayuntamiento el 15 por 100 del incremento del aprovechamiento urbanístico sobre el anteriormente edificado. </w:t>
      </w:r>
    </w:p>
    <w:p w:rsidRPr="00C21FFE" w:rsidR="00F31FAF" w:rsidRDefault="00356547">
      <w:pPr>
        <w:rPr/>
      </w:pPr>
      <w:r w:rsidRPr="&lt;w:rPr xmlns:w=&quot;http://schemas.openxmlformats.org/wordprocessingml/2006/main&quot;&gt;&lt;w:lang w:val=&quot;es-ES_tradnl&quot; /&gt;&lt;/w:rPr&gt;">
        <w:rPr/>
        <w:t xml:space="preserve">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4988- 2001, deriva del recurso contencioso-administrativo interpuesto por Prosercon, S.L., contra la Resolución del Alcalde- Presidente del Ayuntamiento de San Sebastián de 15 de julio de 1997, por la que se concede licencia de obras para la construcción de vivienda unifamiliar, previo pago de 2.631.115 pesetas (condición 13 de la Resolución mencionada) en concepto de cesión del 15 por 100 del aprovechamiento lucrativo. En la demanda formulada en aquel proceso contencioso-administrativo había alegado la recurrente que los terrenos se sitúan en suelo urbano y están excluidos de unidad de ejecución, por lo que no procedería la aplicación de ningún porcentaje de cesión, conforme a lo dispuesto por el art. 2.1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contencioso-administrativo y con suspensión del plazo para dictar sentencia, la Sección Segunda de la Sala de lo Contencioso-Administrativo del Tribunal Superior de Justicia del País Vasco dictó providencia de 27 de febrero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con relación al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párrafo 1, de la Ley vasca 3/1997 es la norma aplicable al caso sobre el que debe resolverse, dado que este precepto entró en vigor con posterioridad a la Ley estatal 7/1997 y con anterioridad al otorgamiento (en el plazo legal) de la licencia (aunque después de su solicitud) cuya obligación de pago se impugna.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e, igualmente,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párrafo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Cuarta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Vasco presentó su escrito de alegaciones el 4 de febrero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presentó su escrito de alegaciones el 5 de febrero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 STC 164/2001, de 11 de julio (FFJJ 20 y 22).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párrafo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7 de febrero de 2002.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4988- 2001,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8 de febrero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enero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31 de enero de 2002 el Presidente en funciones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30 de noviembre de 2004, se señaló para votación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párrafo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4989-2001.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