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962-2003, promovido por don Salim Chabi, representado por el Procurador de los Tribunales don Antonio de Palma Villalón y bajo la dirección de la Letrada doña María de los Ángeles Cebrián Ortega, contra la Sentencia de la Sección Tercera de la Audiencia Provincial de Zaragoza de 21 de enero de 2003, dictada en el rollo de apelación núm. 104-2002, que desestimó el recurso de apelación interpuesto contra la Sentencia del Juzgado de lo Penal núm. 2 de Zaragoza de 14 de febrero de 2002, dictada en el juicio oral núm. 305-2001, sobre delito de robo.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febrero de 2003, el Procurador de los Tribunales don Antonio de Palma Villalón, en nombre y representación de don Salim Chabi, y bajo la dirección de la Letrada doña María de los Ángeles Cebrián Ortega,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del Juzgado de lo Penal núm. 2 de Zaragoza de 14 de febrero de 2002, como autor un delito intentado de robo con fuerza en las cosas, a la pena de cuatro meses de prisión, a sustituir por la de doscientos cuarenta días de multa con una cuota diaria de 1,20 euros, accesorias y costas, al considerar acreditado que, en compañía de otra persona no identificada, con ánimo de obtener un beneficio económico, rompió el cristal de la puerta trasera izquierda de un vehículo, abriendo su seguro, momento en que al sonar la alarma se dio a la fuga, siendo detenido por el propietario del vehículo y su padre. La Sentencia fundamenta los hechos probados y la participación en ellos del recurrente en la testifical del propietario del vehículo y su padre, quienes relatan como, tras sonar la alarma, sorprendieron al recurrente junto al vehículo, que presentaba el cristal roto y el seguro abierto, siendo detenido tras intentar darse a la fuga, sin perderle de vista; en la propia conducta del recurrente, de intentar darse a la fuga, y en la falsedad de su declaración exculpatoria, negando haber estado cerca del vehículo o ir en compañía de otra persona. </w:t>
      </w:r>
    </w:p>
    <w:p w:rsidRPr="00C21FFE" w:rsidR="00F31FAF" w:rsidRDefault="00356547">
      <w:pPr>
        <w:rPr/>
      </w:pPr>
      <w:r w:rsidRPr="&lt;w:rPr xmlns:w=&quot;http://schemas.openxmlformats.org/wordprocessingml/2006/main&quot;&gt;&lt;w:lang w:val=&quot;es-ES_tradnl&quot; /&gt;&lt;/w:rPr&gt;">
        <w:rPr/>
        <w:t xml:space="preserve">b) El recurrente interpuso recurso de apelación alegando que se había vulnerado su derecho a la presunción de inocencia, toda vez que ni estaba acreditado que él hubiera tenido participación en los hechos ni, en su caso, que su intención hubiera sido la de robar en el vehículo y no la de hacer un uso ilegítimo del mismo. El recurso fue desestimado por Sentencia de la Sección Tercera de la Audiencia Provincial de Zaragoza de 21 de enero de 2003, dictada en el rollo de apelación núm. 104-2002, argumentando, por un lado, que a partir de la prueba practicada no cabía apreciar que la inferencia respecto de la autoría del recurrente no fuera razonable y, por otro, que el hecho del rompimiento del cristal trasero y que no se efectuara ningún otro acto en el sistema de arranque del vehículo, denotaba que la intención no era la de apropiarse del vehículo sino de los bienes que pudiera haber en su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la presunción de inocencia (art. 24.2 CE) con fundamento en que, no existiendo prueba directa sobre su participación en los hechos, tampoco hay prueba indiciaria con entidad suficiente para enervar la presunción de inocencia, habiendo sido condenado en virtud de meras conjeturas. Igualmente se aduce que, en su caso, tampoco existiría prueba suficiente sobre que su intención fuera la de apropiarse de los bienes que pudiera haber en el interior del vehículo, y no de éste para hacer uso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 de marzo de 2004,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 Igualmente se acordó formar la correspondiente pieza separada de suspensión, en la que, tras los trámites oportunos, se dictó por la Sala Primera de este Tribunal el ATC 164/2004, de 10 de mayo,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23 de marzo de 2004 se acordó tener por recibido el testimonio de las actuaciones y, de conformidad con el art. 52 LOTC,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22 de abril de 2004, interesó la desestimación del amparo al considerar que la condena del recurrente se ha apoyado en verdaderos actos de prueba, practicados con todas las garantías, y valorados conforme a los parámetros constitucionales, toda vez que el ser sorprendido junto a un vehículo, con la luna rota y la puerta abierta y su actitud de huida no pueden ser considerados indicios débiles para concluir su participación en el hecho, sin que la distinta valoración de la actividad probatoria efectuada en la demanda de amparo pueda anteponerse a la valoración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27 de abril de 2004, presentó alegaciones reiterando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julio de 2006, se señaló para deliberación y fallo de la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se ha vulnerado el derecho a la presunción de inocencia (art. 24.2 CE) del recurrente tanto en relación a que se haya considerado probada su participación en los hechos, como a la concurrencia del elemento subjetivo del tipo.</w:t>
      </w:r>
    </w:p>
    <w:p w:rsidRPr="00C21FFE" w:rsidR="00F31FAF" w:rsidRDefault="00356547">
      <w:pPr>
        <w:rPr/>
      </w:pPr>
      <w:r w:rsidRPr="&lt;w:rPr xmlns:w=&quot;http://schemas.openxmlformats.org/wordprocessingml/2006/main&quot;&gt;&lt;w:lang w:val=&quot;es-ES_tradnl&quot; /&gt;&lt;/w:rPr&gt;">
        <w:rPr/>
        <w:t xml:space="preserve">Este Tribunal ha reiterado que no le corresponde revisar la valoración de las pruebas a través de las cuales el órgano judicial alcanza su íntima convicción, al ser esa una función exclusiva que le atribuye el art. 117.3 CE, sino únicamente controlar la razonabilidad del discurso que une la actividad probatoria y el relato fáctico que de ella resulta. Igualmente se ha destacado que, a falta de prueba directa, la prueba de cargo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STC 123/2006, de 24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queda acreditado en las actuaciones y ya se ha expuesto en los antecedentes con más detalle, en vía judicial se hizo expreso que la actividad probatoria a partir de la cual se infería la conclusión de que el recurrente fue coautor de los hechos era la testifical del propietario del vehículo y su padre, quienes relataron en la vista oral, de manera coincidente a como la habían hecho durante la instrucción que, tras sonar la alarma del vehículo, salieron a la calle y sorprendieron al recurrente y a otra persona junto al coche, que presentaba el cristal roto y el seguro abierto, deteniéndole tras intentar darse a la fuga, sin perderle de vista.  Igualmente se destacan también como elementos indiciarios la propia conducta del recurrente de intentar darse a la fuga y la falsedad de su declaración exculpatoria, negando haber estado cerca del vehículo o ir en compañía de otra persona. Del mismo modo, también se hizo expreso en la vía judicial que la conclusión sobre que la intención del recurrente era la de apropiarse de los bienes que pudiera haber en el interior del vehículo y no del mismo vehículo, para su uso, se infería del hecho del rompimiento del cristal trasero y de que no se efectuó ningún otro acto sobre el sistema de arranque del vehículo.</w:t>
      </w:r>
    </w:p>
    <w:p w:rsidRPr="00C21FFE" w:rsidR="00F31FAF" w:rsidRDefault="00356547">
      <w:pPr>
        <w:rPr/>
      </w:pPr>
      <w:r w:rsidRPr="&lt;w:rPr xmlns:w=&quot;http://schemas.openxmlformats.org/wordprocessingml/2006/main&quot;&gt;&lt;w:lang w:val=&quot;es-ES_tradnl&quot; /&gt;&lt;/w:rPr&gt;">
        <w:rPr/>
        <w:t xml:space="preserve">En atención a lo expuesto, se constata, por un lado, que en las resoluciones judiciales se ha hecho explícito el proceso argumental para inferir, a partir de hechos objetivos perfectamente acreditados, tanto la autoría del recurrente como la intención que movía su conducta. Y, por otro, que dicho proceso argumental no puede ser calificado de irrazonable ni desde el punto de vista de su lógica o coherencia ni desde la óptica del grado de solidez requerido. En efecto, como también destacara el Ministerio Fiscal, no cabe considerar que resulte excesivamente abierta la inferencia de que el recurrente fue uno de los autores de los hechos partiendo de la base de que existen dos declaraciones testificales que coinciden en señalar que el recurrente fue sorprendido junto al vehículo en el momento en que saltó la alarma, estando roto el cristal de la ventanilla y abierto el seguro, y que su reacción fue intentar darse a la fuga, siendo detenido por los propios testigos, que no lo perdieron de vista.  Del mismo modo, tampoco cabe concluir que la inferencia relativa a cuál fue la intención del recurrente resulte contraria a los parámetros constitucionales de valoración de pruebas indiciarias, toda vez que, como ya se ha expuesto, en vía judicial los elementos indiciarios que se destacaron sobre este particular fueron tanto que no resultara manipulado el sistema de arranque, como que se rompiera un cristal trasero del vehículo y se abriera el seguro para intentar acceder a su interior.</w:t>
      </w:r>
    </w:p>
    <w:p w:rsidRPr="00C21FFE" w:rsidR="00F31FAF" w:rsidRDefault="00356547">
      <w:pPr>
        <w:rPr/>
      </w:pPr>
      <w:r w:rsidRPr="&lt;w:rPr xmlns:w=&quot;http://schemas.openxmlformats.org/wordprocessingml/2006/main&quot;&gt;&lt;w:lang w:val=&quot;es-ES_tradnl&quot; /&gt;&lt;/w:rPr&gt;">
        <w:rPr/>
        <w:t xml:space="preserve">Por tanto, al no apreciarse que concurra la vulneración aducida del derecho a la presunción de inocencia, debe denegarse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a don Salim Chabi.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