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8202-2005, 8992-2005, 768- 2006, 4574-2006, 4575-2006, 4998-2006, 6035-2006, 6438-2006, 7229-2006, 8199-2006, 8261-2006, 8966-2006, 10596-2006, 10661-2006, 47-2007, 1218-2007, 1219-2007, 2922-2007, 4616-2007, 4763-2007, 4815-2007, 5924-2007, 5925-2007, 6360-2007, 6662- 2007, 6663-2007, 8622-2007, 9318-2007, 9368-2007, 9423-2007, 9424-2007 y 1037-2008, planteadas por el Juzgado de lo Penal núm. 2 de Albacete, respecto al primer inciso del art. 153.1 del Código penal en la redacción dada al mismo por el art. 37 de la Ley Orgánica 1/2004, de 28 de diciembre, de medidas de protección integral contra la violencia de género. Han comparecido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noviembre de 2005 tiene entrada en el Registro General de este Tribunal, con el núm. 8202–2005, escrito del Juzgado de lo Penal núm. 2 de Albacete al que se acompaña, junto al testimonio del correspondiente procedimiento (juicio rápido 377-2005), el Auto del referido Juzgado de 19 de octubre de 2005 en el que se acuerda plantear cuestión de inconstitucionalidad respecto al art. 153.1 del Código penal por su posible contradicción con los arts. 1.1, 9.2, 10.1, 14, 17, 24.2 y 25.1 de la Constitución. </w:t>
      </w:r>
    </w:p>
    <w:p w:rsidRPr="00C21FFE" w:rsidR="00F31FAF" w:rsidRDefault="00356547">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8992-2005, Auto de 11 de noviembre de 2005 (juicio rápido 431-2005); 768-2006, Auto de 5 de diciembre de 2005 (juicio rápido 465-2005); 4574-2006, Auto de 9 de febrero de 2006 (juicio rápido 12-2006); 4575-2006, Auto de 14 de febrero de 2006 (juicio rápido 2-2006); 4998-2006, Auto de 22 de marzo de 2006 (procedimiento abreviado 569-2005); 6035-2006, Auto de 24 de marzo de 2006 (procedimiento abreviado 56-2006); 6438-2006, Auto de 17 de abril de 2006 (juicio rápido 131-2006); 7229-2006, Auto de 24 de marzo de 2006 (procedimiento abreviado 55-2006); 8199-2006, Auto de 8 de junio de 2006 (procedimiento abreviado 198-2006); 8261-2006, Auto de 28 de julio de 2006 (juicio rápido 332-2006); 8966-2006, Auto de 28 de julio de 2006 (procedimiento abreviado 161-2006); 10596-2006, Auto de 19 de octubre de 2006 (juicio rápido 387-2006); 10661-2006, Auto de 30 de octubre de 2006 (juicio rápido 430-2006); 47-2007, Auto de 20 de diciembre de 2006 (procedimiento abreviado 303-2006); 1218-2007, Auto de 18 de septiembre de 2006 (juicio rápido 409-2006); 1219-2007, Auto de 2 de enero de 2007 (procedimiento abreviado 351-2006); 2922-2007, Auto de 15 de marzo de 2007 (juicio rápido 81-2007); 4616-2007, Auto de 30 de abril de 2007 (procedimiento abreviado 406- 2006); 4763-2007, Auto de 23 de abril de 2007 (juicio rápido 165-2007); 4815-2007, Auto de 2 de mayo de 2006 (procedimiento abreviado 413-2006); 5924-2007, Auto de 5 de junio de 2007 (juicio rápido 295-2007); 5925-2007, Auto de 4 de junio de 2007 (procedimiento abreviado 443-2006); 6360-2007, Auto de 29 de junio de 2007 (juicio rápido 215-2007); 6662-2007, Auto de 13 de julio de 2007 (procedimiento abreviado 347-2007); 6663-2007, Auto de 2 de julio de 2007 (juicio rápido 375-2007); 8622-2007, Auto de 18 de octubre de 2007 (juicio rápido 497-2007); 9318-2007, Auto de 12 de noviembre de 2007 (juicio rápido 555-2007); 9368-2007, Auto de 2 de noviembre de 2007 (juicio rápido 578-2007); 9423-2007, Auto de 12 de noviembre de 2007 (procedimiento abreviado 20-2007); 9424-2007, Auto de 2 de noviembre de 2007 (juicio rápido 518-2007) y 1037-2008, Auto de 23 de enero de 2008 (juicio rápido 717-2007).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del art. 153.1 CP por posible vulneración de los arts. 1.1, 9.2, 10.1, 14, 17,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parte de una interpretación del inciso cuestionado en la que el sujeto activo ha de ser necesariamente un varón y en la que la pena del mismo que se diferencia en sentido agravatorio no sólo es la de prisión, sino también la de inhabilitación para el ejercicio de la patria potestad, tutela, curatela, guarda o acogimiento. Tras una introducción acerca de la evolución del precepto, el Juzgado divide sus dudas de constitucionalidad en cuatro bloques. En el apartado final del Auto se sostiene que no cabe una interpretación conforme a la Constitución “como posible límite de la duda de inconstitucionalidad”. </w:t>
      </w:r>
    </w:p>
    <w:p w:rsidRPr="00C21FFE" w:rsidR="00F31FAF" w:rsidRDefault="00356547">
      <w:pPr>
        <w:rPr/>
      </w:pPr>
      <w:r w:rsidRPr="&lt;w:rPr xmlns:w=&quot;http://schemas.openxmlformats.org/wordprocessingml/2006/main&quot;&gt;&lt;w:lang w:val=&quot;es-ES_tradnl&quot; /&gt;&lt;/w:rPr&gt;">
        <w:rPr/>
        <w:t xml:space="preserve">a) Plantea en primer lugar la posible contradicción del precepto con “el principio de igualdad, conectado con los valores de la libertad, la dignidad de la persona y justicia (arts. 1.1, 10.1 y 14 CE)”. Considera que aquel supone una acción positiva que supone “la discriminación negativa del varón”. Esta acción se inserta además en un “Derecho penal de autor frente al tradicional Derecho penal del hecho”; presume, a partir de la dicción del art. 1.1 Ley Orgánica 1/2004, el “ejercicio de violencia de género por parte de los hombres hacia sus parejas con base en meros criterios estadísticos”; atribuye más valor a los bienes “integridad física o psíquica” y “libertad” de las mujeres que a los mismos bienes de los hombres; y compromete doblemente la dignidad humana: la del hombre, “al que se configura como maltratador nato”, y a la de la mujer, “a quien se reputa en todo caso especialmente vulnerable”. </w:t>
      </w:r>
    </w:p>
    <w:p w:rsidRPr="00C21FFE" w:rsidR="00F31FAF" w:rsidRDefault="00356547">
      <w:pPr>
        <w:rPr/>
      </w:pPr>
      <w:r w:rsidRPr="&lt;w:rPr xmlns:w=&quot;http://schemas.openxmlformats.org/wordprocessingml/2006/main&quot;&gt;&lt;w:lang w:val=&quot;es-ES_tradnl&quot; /&gt;&lt;/w:rPr&gt;">
        <w:rPr/>
        <w:t xml:space="preserve">b) Considera también el Auto que podrían resultar vulnerados el derecho a la presunción de inocencia y el principio de culpabilidad (art. 24.2 CE), por la presunción de que la violencia del varón hacia la mujer que es o fue su pareja constituye una manifestación de discriminación. </w:t>
      </w:r>
    </w:p>
    <w:p w:rsidRPr="00C21FFE" w:rsidR="00F31FAF" w:rsidRDefault="00356547">
      <w:pPr>
        <w:rPr/>
      </w:pPr>
      <w:r w:rsidRPr="&lt;w:rPr xmlns:w=&quot;http://schemas.openxmlformats.org/wordprocessingml/2006/main&quot;&gt;&lt;w:lang w:val=&quot;es-ES_tradnl&quot; /&gt;&lt;/w:rPr&gt;">
        <w:rPr/>
        <w:t xml:space="preserve">c) El precepto se refiere a las “personas especialmente vulnerables”, concepto jurídico indeterminado que se opone al concepto de lex certa y con ello al principio de legalidad (art. 25.1 CE). “Igualmente ha de mencionarse la inconcreción … en orden a la determinación del mínimo de la pena de inhabilitación”. </w:t>
      </w:r>
    </w:p>
    <w:p w:rsidRPr="00C21FFE" w:rsidR="00F31FAF" w:rsidRDefault="00356547">
      <w:pPr>
        <w:rPr/>
      </w:pPr>
      <w:r w:rsidRPr="&lt;w:rPr xmlns:w=&quot;http://schemas.openxmlformats.org/wordprocessingml/2006/main&quot;&gt;&lt;w:lang w:val=&quot;es-ES_tradnl&quot; /&gt;&lt;/w:rPr&gt;">
        <w:rPr/>
        <w:t xml:space="preserve">d) La última vulneración descrita como posible se refiere al art. 9 CE (“Promoción por los poderes públicos de las condiciones para la libertad, la igualdad y seguridad jurídica. Interdicción de la arbitrariedad”): la promoción de las condiciones para la igualdad no era posible a través de la pena y ha conducido por exceso a una discriminación negativa, pues no se partía en este caso de una situación de desigualdad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acuerda, mediante las providencias respectivas, admitir a trámite las cuestiones que sobre la constitucionalidad del art. 153.1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comunica en los distintos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comunica en los distintos procedimientos los Acuerdos de la Mesa de la Cámara relativos a la personación,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los distintos procedimientos en nombre del Gobierno, solicitando en sus escritos de alegaciones la desestimación de todas las cuestiones. </w:t>
      </w:r>
    </w:p>
    <w:p w:rsidRPr="00C21FFE" w:rsidR="00F31FAF" w:rsidRDefault="00356547">
      <w:pPr>
        <w:rPr/>
      </w:pPr>
      <w:r w:rsidRPr="&lt;w:rPr xmlns:w=&quot;http://schemas.openxmlformats.org/wordprocessingml/2006/main&quot;&gt;&lt;w:lang w:val=&quot;es-ES_tradnl&quot; /&gt;&lt;/w:rPr&gt;">
        <w:rPr/>
        <w:t xml:space="preserve">En relación con el cuestionamiento del art. 153.1 CP desde el art. 14 CE entiende que, “aunque el precepto se inspira esencialmente en la protección de la mujer en el ámbito del matrimonio o relación afín, no es reconducible al esquema simplista que propone el Auto, colocando en exclusividad a los sexos en el lado activo o en el pasivo del delito. Sólo la fragmentación —en definitiva mutilación— del texto puede llevar a tal consecuencia”. Así, el precepto incluye también como sujeto pasivo a las personas especialmente vulnerables, que pueden serlo de cualquier sexo, sin que la persona que comete esta agresión contra el vulnerable pueda tampoco identificarse por el sexo. “Acaso no sea difícil comprender también que una interpretación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Ley Orgánica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Considera el Abogado del Estado, en segundo lugar, que el art. 153.1 CP “ni prescinde de la culpa, ni permite presumirla en modo alguno” y que “lo que el Juzgado proponente estima como materia de presunción no es sino la valoración del legislador” a la hora de diseñar el tipo penal. El legislador considera que “la violencia doméstica ejercida sobre las mujeres — … también sobre otras personas especialmente vulnerables— es manifestación de una actitud discriminatoria… A partir de esa valoración construye los tipos penales, pero sin exigir como elemento del tipo la actuación discriminatoria misma”. </w:t>
      </w:r>
    </w:p>
    <w:p w:rsidRPr="00C21FFE" w:rsidR="00F31FAF" w:rsidRDefault="00356547">
      <w:pPr>
        <w:rPr/>
      </w:pPr>
      <w:r w:rsidRPr="&lt;w:rPr xmlns:w=&quot;http://schemas.openxmlformats.org/wordprocessingml/2006/main&quot;&gt;&lt;w:lang w:val=&quot;es-ES_tradnl&quot; /&gt;&lt;/w:rPr&gt;">
        <w:rPr/>
        <w:t xml:space="preserve">Tras afirmar, en tercer lugar, que la argumentación es imprecisa en lo que hace a la indeterminación del tipo, añade, en lo que atañe a la alusión a la dignidad de la persona, que “ni el legislador menosprecia a la mujer por considerarla más vulnerable, ni envilece al sexo masculino, tachándolo de maltratador u opresor de la mujer”. </w:t>
      </w:r>
    </w:p>
    <w:p w:rsidRPr="00C21FFE" w:rsidR="00F31FAF" w:rsidRDefault="00356547">
      <w:pPr>
        <w:rPr/>
      </w:pPr>
      <w:r w:rsidRPr="&lt;w:rPr xmlns:w=&quot;http://schemas.openxmlformats.org/wordprocessingml/2006/main&quot;&gt;&lt;w:lang w:val=&quot;es-ES_tradnl&quot; /&gt;&lt;/w:rPr&gt;">
        <w:rPr/>
        <w:t xml:space="preserve">El último apartado del Auto, en fin, expresa el “rechazo a lo que llama discriminación positiva en el ámbito penal”, rechazo que, de nuevo, “descansa en esa inexacta colocación del sexo masculino en el lado activo del tipo delictivo y a la mujer en el lado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en los correspondientes procedimientos el Fiscal General del Estado concluye que la norma cuestionada no vulnera el derecho a la igualdad. </w:t>
      </w:r>
    </w:p>
    <w:p w:rsidRPr="00C21FFE" w:rsidR="00F31FAF" w:rsidRDefault="00356547">
      <w:pPr>
        <w:rPr/>
      </w:pPr>
      <w:r w:rsidRPr="&lt;w:rPr xmlns:w=&quot;http://schemas.openxmlformats.org/wordprocessingml/2006/main&quot;&gt;&lt;w:lang w:val=&quot;es-ES_tradnl&quot; /&gt;&lt;/w:rPr&gt;">
        <w:rPr/>
        <w:t xml:space="preserve">Subraya el escrito que el legislador ha tomado en cuenta en el precepto cuestionado los datos de que la mayor parte de los delitos de violencia doméstica se producen en las relaciones de pareja y por parte de los hombres, por lo que no puede afirmarse la carencia de una justificación objetiva y razonable para afrontar este tipo de violencia. Constata así “una forma delictiva con autonomía propia caracterizada por unas conductas que encierran un desvalor añadido, un plus de antijuridicidad, al ser expresivas de determinadas relaciones de poder y sometimiento del hombre sobre la mujer … A ello debe añadirse que la agravación punitiva no sólo se produce en este ámbito específico de la violencia doméstica, sino que es extendida por el legislador a cualesquiera relaciones familiares … cuando concurran en la víctima circunstancias objetivas de desprotección … Por tanto el legislador sólo ha tomado en consideración, dentro de los delitos que afectan a la pacífica convivencia en el ámbito doméstico, el tipo de relación familiar de que se trata y el sexo de los sujetos intervinientes cuando dichos extremos tienen incidencia criminógena, y además teniendo en cuenta que tal incidencia es extrema y causante de una brutal magnitud delincuencial en la que además de verse afectados una pluralidad de bienes jurídicos, aparece afectado el derecho a la igualdad de las víctimas”. </w:t>
      </w:r>
    </w:p>
    <w:p w:rsidRPr="00C21FFE" w:rsidR="00F31FAF" w:rsidRDefault="00356547">
      <w:pPr>
        <w:rPr/>
      </w:pPr>
      <w:r w:rsidRPr="&lt;w:rPr xmlns:w=&quot;http://schemas.openxmlformats.org/wordprocessingml/2006/main&quot;&gt;&lt;w:lang w:val=&quot;es-ES_tradnl&quot; /&gt;&lt;/w:rPr&gt;">
        <w:rPr/>
        <w:t xml:space="preserve">Destaca además el Fiscal que, con la previsión de una pena alternativa de trabajos en beneficio de la comunidad, de un tipo agravado y de un tipo atenuado, el legislador ha dispuesto una pluralidad de respuestas punitivas para que los órganos judiciales puedan adaptar la respuesta penal a las circunstancias concurrentes, y entre ellas a la de la “incidencia real que en el caso concreto haya tenido el desconocimiento del derecho a la igualdad de la víctima … De todo ello fluye que al configurar la figura agravada de que se trata el legislador ha atendido a elementos diferenciadores … como una causa criminógena de innegable magnitud y que por implicar un desvalor añadido a las conductas de que se trata afectan a bienes constitucionales de la máxima relevancia, constituyendo uno de los fenómenos de mayor gravedad en el momento actual, sin que por ello la opción legislativa de agravamiento de la pena en tales supuestos pueda merecer el reproche de atentar contra el derecho a la igualdad, pues la toma en consideración del tipo de relaciones de que se trata y del sexo de los que las mantienen o las han mantenido, viene dada precisamente en la causa de que se produzcan ataques a bienes y derechos constitucionales de innegable trascendencia”. Además, el legislador ha extendido el fin de protección que con esta agravación se persigue a todas las relaciones familiares y a todas las víctimas que reclaman especial protección sin distinción de sexo, “por lo que las consecuencias de la disparidad normativa no aparecen … carentes de proporcionalidad, lo que no es cuestionado por la Magistrada proponente, que tilda de inocuas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pueden alegar lo que estimen conveniente en torno a la acumulación a la cuestión de inconstitucionalidad 8202–2005 las seguidas con los números 8992-2005, 768-2006, 4574-2006, 4575-2006, 4998-2006, 6035-2006, 6438-2006, 7229-2006, 8199-2006, 8261- 2006, 8966-2006, 10596-2006, 10661-2006, 47-2007, 1218-2007, 1219-2007, 2922-2007, 4616-2007, 4763-2007, 4815-2007, 5924-2007, 5925-2007, 6360-2007, 6662-2007, 6663- 2007, 8622-2007, 9318-2007, 9368-2007, 9423-2007, 9424-2007 y 1037-2008. Tanto Abogado del Estado como el Fiscal General del Estado interesan la acumulación, que se acuerda mediante Auto de 1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de julio de 2008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 treinta y dos Autos de cuestionamiento, el Juzgado de lo Penal núm. 2 de Albacete considera que el inciso primero del art. 153.1 del Código penal (CP), en su vigente redacción, dada por el art. 37 de la Ley Orgánica 1/2004, de medidas de protección integral contra la violencia de género, puede ser contrario a los principios de igualdad (con infracción de los arts. 1.1, 10.1 y 14 CE), de culpabilidad y de presunción de inocencia (art. 24.2 CE), y de legalidad penal (art. 25.1 CE). Asimismo el precepto cuestionado podría oponerse al mandato a los poderes públicos de promoción de las condiciones para que la libertad y la igualdad sea reales y efectivas, e incurrir en arbitrariedad. El Abogado del Estado y el Fiscal General del Estado niegan estas vulneraciones e interesan la desestimación íntegra de las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cuarta duda del Auto de planteamiento, relativa al mandato de determinación como manifestación del principio de legalidad penal, se refiere en primer lugar a la expresión “persona especialmente vulnerable”. Como esta expresión conforma un inciso del precepto cuestionado del que no se hace juicio alguno de aplicabilidad ni de relevancia y que queda incluso excluido formalmente del cuestionamiento, expresamente dirigido al “inciso primero” del art. 153.1 CE, la duda debe ser inadmitida porque no consta la relevancia que para la resolución del proceso presenta la norma cuestionada.</w:t>
      </w:r>
    </w:p>
    <w:p w:rsidRPr="00C21FFE" w:rsidR="00F31FAF" w:rsidRDefault="00356547">
      <w:pPr>
        <w:rPr/>
      </w:pPr>
      <w:r w:rsidRPr="&lt;w:rPr xmlns:w=&quot;http://schemas.openxmlformats.org/wordprocessingml/2006/main&quot;&gt;&lt;w:lang w:val=&quot;es-ES_tradnl&quot; /&gt;&lt;/w:rPr&gt;">
        <w:rPr/>
        <w:t xml:space="preserve">La misma duda de indeterminación (art. 25.1 CE), ahora referida al lapso (“hasta cinco años”) en que puede imponerse la pena de inhabilitación para el ejercicio de la patria potestad, tutela, curatela, guarda o acogimiento, “cuando el Juez o Tribunal lo estime adecuado al interés del menor o incapaz”, debe ser desestimada. No se entiende, ni nada se alega al respecto, en qué consiste la indeterminación de un marco penal que tiene un mínimo, consistente en la falta de imposición de la pena, y un máximo, concretado en cinco años.</w:t>
      </w:r>
    </w:p>
    <w:p w:rsidRPr="00C21FFE" w:rsidR="00F31FAF" w:rsidRDefault="00356547">
      <w:pPr>
        <w:rPr/>
      </w:pPr>
      <w:r w:rsidRPr="&lt;w:rPr xmlns:w=&quot;http://schemas.openxmlformats.org/wordprocessingml/2006/main&quot;&gt;&lt;w:lang w:val=&quot;es-ES_tradnl&quot; /&gt;&lt;/w:rPr&gt;">
        <w:rPr/>
        <w:t xml:space="preserve">Si se tiene en cuenta asimismo que la cuarta duda del Auto, atinente a la vulneración del art.  9.2 CE, no refiere propiamente en su primera parte tal vulneración, sino simplemente que el precepto que el Juzgado entiende desigualitario no puede encontrar amparo en el mismo, y que su segunda parte alega que tal desigualdad podría ser arbitraria, nos encontramos en realidad ante dos dudas centrales de constitucionalidad: si estamos ante un tratamiento punitivo diferente de la misma conducta en función del sexo de los sujetos activo y pasivo, que sería por ello contrario al art. 14 CE, y si existe una presunción contraria al principio de culpabilidad consistente en que las agresiones de los hombres a las mujeres que son o fueron su pareja constituyen una manifestación de discriminación.</w:t>
      </w:r>
    </w:p>
    <w:p w:rsidRPr="00C21FFE" w:rsidR="00F31FAF" w:rsidRDefault="00356547">
      <w:pPr>
        <w:rPr/>
      </w:pPr>
      <w:r w:rsidRPr="&lt;w:rPr xmlns:w=&quot;http://schemas.openxmlformats.org/wordprocessingml/2006/main&quot;&gt;&lt;w:lang w:val=&quot;es-ES_tradnl&quot; /&gt;&lt;/w:rPr&gt;">
        <w:rPr/>
        <w:t xml:space="preserve">Ambas dudas tienen ya respuesta en la STC 59/2008, de 14 de mayo, a la que procede remitirse y cuya argumentación básica pasamos a resumir.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STC 59/2008 toma como punto de partida la exclusividad del legislador para el diseño de la política criminal y la amplia libertad de que goza para el mismo. Es por ello por lo que el actual juicio de constitucionalidad no lo es de eficacia o de bondad: “Sólo nos compete enjuiciar si se han respetado los límites externos que el principio de igualdad impone desde la Constitución a la intervención legislativa” (FJ 6).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(FJ 7).</w:t>
      </w:r>
    </w:p>
    <w:p w:rsidRPr="00C21FFE" w:rsidR="00F31FAF" w:rsidRDefault="00356547">
      <w:pPr>
        <w:rPr/>
      </w:pPr>
      <w:r w:rsidRPr="&lt;w:rPr xmlns:w=&quot;http://schemas.openxmlformats.org/wordprocessingml/2006/main&quot;&gt;&lt;w:lang w:val=&quot;es-ES_tradnl&quot; /&gt;&lt;/w:rPr&gt;">
        <w:rPr/>
        <w:t xml:space="preserve">A partir de la perspectiva que demarca el principio general de igualdad la constitucionalidad de la norma pasa, según nuestra consolidada doctrina al respecto,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El análisis de razonabilidad de la diferenciación ha de comenzar por el de la legitimidad del fin de la norma. Y, a partir de la lectura de la exposición de motivos y del articulado de la Ley Orgánica de medidas de protección integral contra la violencia de género, constatamos que,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(FJ 8).</w:t>
      </w:r>
    </w:p>
    <w:p w:rsidRPr="00C21FFE" w:rsidR="00F31FAF" w:rsidRDefault="00356547">
      <w:pPr>
        <w:rPr/>
      </w:pPr>
      <w:r w:rsidRPr="&lt;w:rPr xmlns:w=&quot;http://schemas.openxmlformats.org/wordprocessingml/2006/main&quot;&gt;&lt;w:lang w:val=&quot;es-ES_tradnl&quot; /&gt;&lt;/w:rPr&gt;">
        <w:rPr/>
        <w:t xml:space="preserve">b) El segundo análisis de razonabilidad de la diferenciación se refiere a su funcionalidad para la legítima finalidad perseguida, que se producirá si resulta a su vez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w:t>
      </w:r>
    </w:p>
    <w:p w:rsidRPr="00C21FFE" w:rsidR="00F31FAF" w:rsidRDefault="00356547">
      <w:pPr>
        <w:rPr/>
      </w:pPr>
      <w:r w:rsidRPr="&lt;w:rPr xmlns:w=&quot;http://schemas.openxmlformats.org/wordprocessingml/2006/main&quot;&gt;&lt;w:lang w:val=&quot;es-ES_tradnl&quot; /&gt;&lt;/w:rPr&gt;">
        <w:rPr/>
        <w:t xml:space="preserve">Y, como afirmamos en la STC 59/2008,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c) A la vista de su poca entidad —tres meses de privación de libertad en el límite inferior de la pena y una pena potestativa de inhabilitación que en el art. 153.1 CP es superior en dos años en su límite máximo, pero inferior en seis meses en su límite mínimo—, tampoco cabe apreciar que la diferencia de penas de las normas comparadas entrañe una desproporción que conduzca por esta vía a la inconstitucionalidad ex principio de igualdad del artículo cuestionado, máxime si se repara en que esta pena de prisión diferenciada en su límite mínimo es alternativa a la pena de trabajos en beneficio de la comunidad, igual en ambos tipos, y en que el art. 153.4 CP incorpora como opción de adaptación judicial de la pena a las peculiaridades del caso el que la pena del art. 153.1 CP pueda rebajarse en un grado “en atención a las circunstancias personales del autor y las concurrentes en la realización del hecho”, en previsión ciertamente aplicable también al art. 153.2 CP.</w:t>
      </w:r>
    </w:p>
    <w:p w:rsidRPr="00C21FFE" w:rsidR="00F31FAF" w:rsidRDefault="00356547">
      <w:pPr>
        <w:rPr/>
      </w:pPr>
      <w:r w:rsidRPr="&lt;w:rPr xmlns:w=&quot;http://schemas.openxmlformats.org/wordprocessingml/2006/main&quot;&gt;&lt;w:lang w:val=&quot;es-ES_tradnl&quot; /&gt;&lt;/w:rPr&gt;">
        <w:rPr/>
        <w:t xml:space="preserve">No sobra señalar, en fin, en esta valoración constitucional de las diferentes consecuencias de los supuestos diferenciados, que el inciso segundo del art. 153.1 CP impone la misma pena cuando el destinatario de la agresión sea “persona especialmente vulnerable que conviva con el autor”, con lo que se equiparan punitivamente a las agresiones del varón hacia quien es o fue su pareja femenina ciertas otras agresiones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segunda duda, atinente al principio de culpabilidad, procede recordar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No hay, por otra parte, sanción por hechos de otros: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marco de la argumentación de la duda de igualdad, alude también el Auto de cuestionamiento a la posible oposición del art. 153.1 CP al valor de la dignidad de la persona en cuanto que presumiría que “la mujer es en cualquier caso persona especialmente vulnerable” y el hombre “un maltratador nato”.</w:t>
      </w:r>
    </w:p>
    <w:p w:rsidRPr="00C21FFE" w:rsidR="00F31FAF" w:rsidRDefault="00356547">
      <w:pPr>
        <w:rPr/>
      </w:pPr>
      <w:r w:rsidRPr="&lt;w:rPr xmlns:w=&quot;http://schemas.openxmlformats.org/wordprocessingml/2006/main&quot;&gt;&lt;w:lang w:val=&quot;es-ES_tradnl&quot; /&gt;&lt;/w:rPr&gt;">
        <w:rPr/>
        <w:t xml:space="preserve">Tampoco puede ser acogida esta objeción de constitucionalidad porque no cabe acoger su presupuesto. El precepto cuestionado no cataloga a la mujer como persona especialmente vulnerable, ni presume que lo sea. Y tampoco contiene consideración alguna acerca de la mayor agresividad de los hombres o de ciertos hombres. Procede, simple y no irrazonablemente, a apreciar la especial gravedad de ciertos hechos “a partir del ámbito relacional en el que se producen y del significado objetivo que adquieren como manifestación de una grave y arraigada desigualdad” (STC 59/2008,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por incumplir las condiciones procesales exigidas por los arts. 163 CE y 35 LOTC (art. 37.1 LOTC), las cuestiones de inconstitucionalidad núm. 8202-2005, 8992-2005,768- 2006, 4574-2006, 4575-2006, 4998-2006, 6035-2006, 6438-2006, 7229-2006, 8199-2006, 8261-2006, 8966-2006, 10596-2006, 10661-2006, 47-2007, 1218- 2007, 1219-2007, 2922-2007, 4616-2007, 4763-2007, 4815-2007, 5924-2007, 5925-2007, 6360-2007, 6662-2007, 6663-2007, 8622-2007, 9318-2007, 9368-2007, 9423-2007, 9424- 2007 y 1037-2008, en lo que se refieren a la posible vulneración del principio de legalidad penal (art.  25.1 CE) de la expresión “persona especialmente vulnerable”.</w:t>
      </w:r>
    </w:p>
    <w:p w:rsidRPr="" w:rsidR="00F31FAF" w:rsidRDefault="00356547">
      <w:pPr>
        <w:rPr/>
      </w:pPr>
      <w:r w:rsidRPr="&lt;w:rPr xmlns:w=&quot;http://schemas.openxmlformats.org/wordprocessingml/2006/main&quot;&gt;&lt;w:szCs w:val=&quot;24&quot; /&gt;&lt;/w:rPr&gt;">
        <w:rPr/>
        <w:t xml:space="preserve">Desestimar las cuestiones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17 de julio de 2008, dictada en las cuestiones de inconstitucionalidad acumuladas núms. 8202-2005, 8992-2005, 768-2006, 4574-2006, 4575-2006, 4998-2006, 6035-2006, 6438-2006, 7229-2006, 8199-2006, 8261-2006, 8966-2006, 10596-2006, 10661-2006, 47-2007, 1218-2007, 1219-2007, 2922-2007, 4616-2007, 4763-2007, 4815- 2007, 5924-2007, 5925-2007, 6360-2007, 6662-2007, 6663-2007, 8622-2007, 9318-2007, 9368-2007, 9423-2007, 9424-2007 y 1037-2008, planteadas por el Juzgado de lo Penal núm. 2 de Albacete, respecto al primer inciso del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17 de julio de 2008, dictada en las cuestiones de inconstitucionalidad acumuladas núms.  8202-2005, 8992-2005, 768-2006, 4574-2006, 4575-2006, 4998-2006, 6035-2006, 6438-2006, 7229-2006, 8199-2006, 8261-2006, 8966-2006, 10596-2006, 10661-2006, 47-2007, 1218-2007, 1219-2007, 2922-2007, 4616-2007, 4763- 2007, 4815-2007, 5924-2007, 5925-2007, 6360-2007, 6662-2007, 6663-2007, 8622-2007, 9318-2007, 9368-2007, 9423-2007, 9424-2007 y 1037-2008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las cuestiones de inconstitucionalidad acumuladas núms. 8202-2005, 8992-2005, 768-2006, 4574-2006, 4575-2006, 4998-2006, 6035-2006, 6438-2006, 7229-2006, 8199-2006, 8261-2006, 8966-2006, 10596-2006, 10661-2006, 47- 2007, 1218-2007, 1219-2007, 2922-2007, 4616-2007, 4763-2007, 4815-2007, 5924-2007, 5925-2007, 6360-2007, 6662-2007, 6663-2007, 8622-2007, 9318-2007, 9368-2007, 9423- 2007, 9424-2007 y 1037-2008,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17 de julio de 2008 dictada en la cuestión de inconstitucionalidad núm. 8202-2005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la Magistrada Juez de lo Penal núm. 2 de Albacete,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8202-2005 y acumuladas,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