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6619-2004,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noviembre de 2004 tuvo entrada en el Registro General de este Tribunal un testimonio de actuaciones remitido por la Sección Segunda de la Audiencia Provincial de Tarragona correspondiente al rollo de apelación núm. 416-2004, del que forma parte el Auto de 28 de septiembre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del cuerpo de Mossos d'Esquadra, se celebró en el Juzgado de Instrucción núm. 2 de Reus el juicio de faltas núm. 324-2003, recayendo Sentencia el 20 de enero de 2004 en la que se declara probado que el 26 de mayo de 2003 don Benramdane El Khatir conducía el vehículo de su propiedad matrícula T-....-AD careciendo de seguro obligatorio de responsabilidad civil, condenándose al denunciado, como autor de la falta prevista en el art. 636 CP, a la pena de 480 euros de multa, así como al abono de las costas procesales.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condenado,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27 de julio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Las partes no efectuaron alegaciones. </w:t>
      </w:r>
    </w:p>
    <w:p w:rsidRPr="00C21FFE" w:rsidR="00F31FAF" w:rsidRDefault="00356547">
      <w:pPr>
        <w:rPr/>
      </w:pPr>
      <w:r w:rsidRPr="&lt;w:rPr xmlns:w=&quot;http://schemas.openxmlformats.org/wordprocessingml/2006/main&quot;&gt;&lt;w:lang w:val=&quot;es-ES_tradnl&quot; /&gt;&lt;/w:rPr&gt;">
        <w:rPr/>
        <w:t xml:space="preserve">e) El 28 de septiembre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de configuración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establezca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2005 la Sección Segunda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7 de febrero de 2005 (núm. 32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8 de febrero de 2005, la Presidencia del Congreso de los Diputados comunicó que, aunque la Cámara no se personaría en el procedimiento ni formularía alegaciones, ponía a disposición del Tribunal las actuaciones que pudiera precisar. El 10 de febrero del mismo año el Presidente del Senado comunicó el acuerdo, de la Mesa de la Cámara,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15 de febrero de 2005,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mucho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febrero de 2005,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Finalmente, recuerda el Ministerio Fiscal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26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Primera,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6619-2004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