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3576-2006, promovido por don Miguel Ángel Menéndez Álvarez,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605-2005, sobre despido. Han sido parte las entidades mercantiles Samoa Industrial, S.A., representada por el Procurador de los Tribunales don Nicolás Álvarez Real y asistida del Letrado don José I. Rodríguez-Vijande Alonso, y Unigel, S.L., representada por el Procurador de los Tribunales don José Lledo Moreno y asistida del Letrado don Germán Aranda León.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Miguel Ángel Menéndez Álvarez,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49.1.b)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aquélla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2007 la Sección Segunda de este Tribunal, acordó la admisión a trámite de la demanda de amparo, sin perjuicio de lo que resulte de los antecedentes. En esa providencia se dispuso también que, a tenor de lo dispuesto en el art. 51 de la Ley Orgánica del Tribunal Constitucional (LOTC), se requiriese atentamente al Juzgado de lo Social núm. 3 de Gijón y a la Sección Primera de la Sala de lo Social del Tribunal Superior de Justicia de Asturias para que en el plazo de diez días remitieran respectivamente testimonio de sus autos demanda 605-2005 y del recurso de suplicación núm. 4492-2005, interesándose al propio tiempo que se emplazara a quienes fueron parte en el mencionado procedimiento, con excepción de la recurrente en amparo que aparecía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7 de septiembre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13 de noviembre de 2007 se acordó tener por recibidos los testimonios de las actuaciones remitidos por la Sala de lo Social del Tribunal Superior de Justicia de Asturias y por el Juzgado de lo Social núm. 3 de Gijón, y los escritos de los Procuradores don Nicolás Álvarez Real y don José Lledo Moreno, a quienes se tuvo por personados y parte en nombre y representación de Samoa Industrial, S.A., y de Unigel, S.L., respectivamente, así como, a tenor de lo dispuesto en el art. 52 LOTC, dar vista de las actuaciones recibidas a las partes personadas y al Ministerio Fiscal, por plazo común de veinte días,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21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17 de diciembre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unificación de doctrina. </w:t>
      </w:r>
    </w:p>
    <w:p w:rsidRPr="00C21FFE" w:rsidR="00F31FAF" w:rsidRDefault="00356547">
      <w:pPr>
        <w:rPr/>
      </w:pPr>
      <w:r w:rsidRPr="&lt;w:rPr xmlns:w=&quot;http://schemas.openxmlformats.org/wordprocessingml/2006/main&quot;&gt;&lt;w:lang w:val=&quot;es-ES_tradnl&quot; /&gt;&lt;/w:rPr&gt;">
        <w:rPr/>
        <w:t xml:space="preserve">Con respecto a la denuncia sobre violación del art. 24 CE por inadmisión de pruebas y quebrantamiento de los principios de igualdad en el proceso, entiende que, como señala el Tribunal Superior de Justicia en su Sentencia, lo que la parte actora pretendía probar con la prueba de reproducción magnetofónica fue expresamente reconocido por los representantes de las empresas demandadas, lo que hacía inútil su práctica. Y, en segundo lugar, que la restricción de la prueba testifical no le causó indefensión, siendo carga del recurrente probar la relación entre los hechos que se quisieron y no se pudieron probar y las pruebas no practicadas.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20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En relación con la limitación del número de testigos, sin perjuicio de apreciar en la actuación del órgano judicial determinados elementos susceptibles de afectar al derecho a la defensa del demandante, señala que la queja no se acompaña de la indicación de ningún dato concreto respecto del que alguno de los testigos rechazados hubiera podido declarar, ni sobre la relevancia de dicho extremo para la resolución del pleito, ni se combate ningún extremo fáctico acreditado que hubiera podido variarse de haberse practicado la prueba denegada, por lo que la queja debe rechazarse, al no señalarse los hechos que se quisieron y no pudieron probar, más allá de la genérica alusión a la complejidad del caso, y no acreditarse tampoco la relación entre dichos hechos y la prueba no practicada, ni que dicha práctica le hubiera resultado procesalmente beneficiosa. Y respecto de la grabación magnetofónica, el demandante tampoco refuta la afirmación de la Sentencia de suplicación de que su omisión hubiera podido ser suplida por la parte por el cauce procedimental del art. 191 b) LPL; por otra parte, de la alegación del demandante se desprende que la prueba se refería a hechos acaecidos con posterioridad a la decisión extintiva, hechos que, en todo caso, considera la Sentencia de suplicación irrelevantes para alterar el sentido del fallo. En consecuencia, al no rebatirse que la omisión de la prueba se hubiera podido subsanar en el recurso de suplicación, no constatarse de modo fehaciente que con su práctica se hubieran podido acreditar los hechos que se pretendía acreditar y derivarse que tal extremo, aún acreditado, no era considerado relevante para la resolución del pleito, tampoco esta segunda queja de indefensión puede ser asumida.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 los derechos a la libertad sindical (art. 28.1 CE) y a la igualdad (art. 14 CE), señala el Fiscal que la queja carece de toda argumentación en la demanda, por lo que la concurrencia de tales vulneraciones debe ser descartada, al incumplir la demandante la carga de argumentación que le incumbe, no existiendo, por lo demás, en las actuaciones nada que permita considerar implicado el primero de los derechos mencionados, ni en su vertiente individual ni en la colectiva, y no habiéndose aportado tampoco por el demandante ningún término válido de comparación, imprescindible para poder sostener la vulneración del segundo. </w:t>
      </w:r>
    </w:p>
    <w:p w:rsidRPr="00C21FFE" w:rsidR="00F31FAF" w:rsidRDefault="00356547">
      <w:pPr>
        <w:rPr/>
      </w:pPr>
      <w:r w:rsidRPr="&lt;w:rPr xmlns:w=&quot;http://schemas.openxmlformats.org/wordprocessingml/2006/main&quot;&gt;&lt;w:lang w:val=&quot;es-ES_tradnl&quot; /&gt;&lt;/w:rPr&gt;">
        <w:rPr/>
        <w:t xml:space="preserve">Entrando finalmente en la queja referida a la vulneración del derecho a la tutela judicial efectiva (art. 24.1 CE) en su vertiente de garantía de indemnidad, pone de relieve el Ministerio Público cómo la Sentencia reconoció que el trabajador había aportado indicios de que la decisión extintiva fuese reactiva al ejercicio de derechos fundamentales por el trabajador, pero entendió que la empresa había aportado una justificación que neutralizaba tales indicios, cual era la rescisión del contrato de servicios, razón por la cual consideró irrelevante toda conjetura sobre la coordinación de voluntades de las empresas. Esta conclusión, sin embargo, es difícilmente asumible, pues supone legitimar cualquier acuerdo entre las empresas, que ellas pudieran ultimar en virtud de sus estrictos intereses, cuando tales acuerdos tenían como consecuencia evidente la extinción de una pluralidad de contratos de trabajo, avalando que el acuerdo se pudiera tomar para desconocer o reprimir los derechos fundamentales de los trabajadores, al tiempo que se afirma, para resaltar el pretendido interés de la empleadora en no ver rescindido el contrato mercantil, todo cuanto puso en marcha para que la confrontación laboral no repercutiese en la empresa contratante, y cómo se plegó a la práctica totalidad de las exigencias y reivindicaciones de los trabajadores, imponiendo como única y formal exigencia que retirasen la denuncia de cesión ilegal de mano de obra contra aquélla. Este razonamiento, afirma el Ministerio Fiscal, no deja de causar perplejidad, pues se da por válida la extinción de un contrato de trabajo por la concurrencia de una causa pactada en el mismo, concurrencia que se activó sin causa justificada alguna derivada de la relación entre las empresas, considerando al mismo tiempo irrelevante la existencia de un concierto entre las mismas, al tiempo que se acepta que la razón última de que tal extinción se hubiera producido fue una denuncia que implicaba a ambas empresas, y cuya retirada fue la única condición impuesta por la empleadora para que la extinción no se produjera. </w:t>
      </w:r>
    </w:p>
    <w:p w:rsidRPr="00C21FFE" w:rsidR="00F31FAF" w:rsidRDefault="00356547">
      <w:pPr>
        <w:rPr/>
      </w:pPr>
      <w:r w:rsidRPr="&lt;w:rPr xmlns:w=&quot;http://schemas.openxmlformats.org/wordprocessingml/2006/main&quot;&gt;&lt;w:lang w:val=&quot;es-ES_tradnl&quot; /&gt;&lt;/w:rPr&gt;">
        <w:rPr/>
        <w:t xml:space="preserve">La Sentencia de suplicación hizo suyo también este argumento, aunque afirmó que la extinción del contrato mercantil tuvo por causa una modificación de las tarifas, extremo éste que no figura acreditado en la Sentencia de instancia, al que da valor estelar, aunque luego lo relativice al considerar que la extinción de dicho contrato tuvo por causa la conflictividad laboral. Esta Sentencia, que en su fundamento de Derecho segundo in fine había denegado la revisión fáctica pretendida por el trabajador para acreditar la implicación de la empresa principal en el conflicto laboral de la contratista, por considerarla irrelevante en el sentido del fallo, en su fundamento de Derecho cuarto da un valor decisivo a la ausencia de connivencia entre las empresas que, por un lado, impide acreditar, y, por otro, deduce de una previa rescisión parcial por incremento de tarifas que aparece por completo ajena a lo debatido y probado en el caso de autos, de un acuerdo entre la empresa principal y sus trabajadores que tampoco guarda relación con lo acaecido, del desconocimiento por la empresa principal de la denuncia por cesión ilegal cuya acreditación ha considerado irrelevante, y de los intentos de la empleadora de mantener la contrata que tampoco están acreditados, constando por el contrario con valor de hecho probado en la Sentencia de instancia que los únicos intentos que hizo la contratista fueron frente a sus trabajadores y con el objeto de que excluyeran de sus reivindicaciones a la otra empresa. </w:t>
      </w:r>
    </w:p>
    <w:p w:rsidRPr="00C21FFE" w:rsidR="00F31FAF" w:rsidRDefault="00356547">
      <w:pPr>
        <w:rPr/>
      </w:pPr>
      <w:r w:rsidRPr="&lt;w:rPr xmlns:w=&quot;http://schemas.openxmlformats.org/wordprocessingml/2006/main&quot;&gt;&lt;w:lang w:val=&quot;es-ES_tradnl&quot; /&gt;&lt;/w:rPr&gt;">
        <w:rPr/>
        <w:t xml:space="preserve">En suma, ambas resoluciones judiciales tuvieron por acreditado que el trabajador había aportado indicios de lesión de su derecho a la tutela judicial efectiva y, sin embargo, los consideraron neutralizados en virtud de una causa que sólo tendría razón de ser si ambas empresas no hubieran actuado de consuno para impedir el legítimo ejercicio por los trabajadores de sus derechos fundamentales, negándose al mismo tiempo a analizar tal concierto por entenderlo irrelevante, o rechazándolo prescindiendo del factum acreditado. Por ello termina el Ministerio Fiscal solicitando que se dicte Sentencia en la que se otorgue el amparo, por vulneración del derecho a la tutela judicial efectiva del demandante,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este Tribunal de 3 de noviembre de 2010, y de conformidad con lo dispuesto en el art. 10.1 n) LOTC, se acordó, a propuesta de la Sala Primera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605-2005,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las representaciones procesales de Samoa Industrial,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Industrial, S.A., alega adicionalmente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mas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Previamente, la STC 76/2010 rechazó, en su fundamento jurídico 3, el óbice procesal puesto de manifiesto por la representación de la empresa Unigel S.L., de conformidad con la reiterada doctrina de este Tribunal sobre la exigibilidad de la interposición del recurso de casación para la unificación de doctrina como requisito para el agotamiento de la vía judicial previa (entre las más recientes, SSTC 183/2007, de 10 de septiembre, FJ 2; y 2/2009, de 19 de enero, FJ 2).</w:t>
      </w:r>
    </w:p>
    <w:p w:rsidRPr="00C21FFE" w:rsidR="00F31FAF" w:rsidRDefault="00356547">
      <w:pPr>
        <w:rPr/>
      </w:pPr>
      <w:r w:rsidRPr="&lt;w:rPr xmlns:w=&quot;http://schemas.openxmlformats.org/wordprocessingml/2006/main&quot;&gt;&lt;w:lang w:val=&quot;es-ES_tradnl&quot; /&gt;&lt;/w:rPr&gt;">
        <w:rPr/>
        <w:t xml:space="preserve">Resuelto lo anterior, tanto la STC 76/2010 como la STC 75/2010 otorgaron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y tras rechazar el óbice procesal puesto de manifiesto por la representación de la empresa Unigel, SL (por las mismas razones expresadas en la STC 76/2010, FJ 3),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Menéndez Álvarez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9 de agosto de 2005 del Juzgado de lo Social núm. 3 de Gijón, dictada en autos 605-2005,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3576/2006,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