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13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Miguel Ángel Cerezales Tabuyo presentó escrito en este Tribunal el 21 de octubre solicitando la reforma inmediata del Código Penal y Ley de Enjuiciamiento Criminal, la aceleración urgente de su proceso juridico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dieciocho de noviembre acordó hacer saber al solicitante que según lo dispuesto en el art. 49.1, en relación con el 81.1 de la L.O.T.C., el amparo debe pedirse mediante demanda, con la dirección de Abogado y bajo la representación de Procurador. En su virtud se otorgó al solicitante un plazo de diez dias para que designara Abogado y Procurador que lo defienda y represente, pudiendo, asismismo, interesar de este Tribunal que se haga el nombramiento del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dia 23 de noviembre,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 .b)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