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Riquelme Belmonte presentó escrito en este Tribunal el 21 de octubre solicitando la reforma inmediata del Código Penal y Ley de Enjuiciamiento Criminal, la acelaración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23 de noviembre, ha transcurrido el plazo de diez días sin que el solicitante comparezca por medio de Abogado y Procurador, sin que tampoco haya colicitado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con la asistencia de Letrado, ni ha pedido a este Tribunal que se designen prefesionales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