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Sr. de la Morena Bokoka, se dirigió a este Tribunal Constitucional en escrito que se recibió el veintiséis de Octubre del pasado año, poniendo de manifiesto que lleva en prisión preventiva cuatro días, por razón de causa penal y solicitando la reforma del Código Penal y de la Ley de Enjuiciamiento Criminal, y si procede, su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acordó por providencia de nueve de diciembre pasado que el recurrente compareciera por medio de Procurador y bajo la dirección de Abogado, tal como dispone el articulo 81.1) de la L.O.T.C. y al notificársele esta providencia, se ha hecho constar por el Juzgado de Instrucción nº once de Madrid que fué puesto en libertad el seis de noviembre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distintas peticiones que ha hecho el recurrente, sólo es materia propia del amparo la referente al derecho a un proceso debido sin dilaciones excesivas que generen una privación de libertad mas allá de lo que el carácter preventivo requiere en orden a la instrucción penal, pues las otras peticiones de que se proceda a una reforma legislativa, no pueden tener como destinatario a este Tribunal Constitucional, como se infiere de las competencias que asigna el artículo 22 de la L.O.T.C. Como el recurrente ha sido puesto en libertad, el amparo deja de tener razón de ser, quedando por tanto sin contenido, lo que justifica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recurso de que se ha heclo mérito por falta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