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Domingo González Ricon presentó escrito en es te Tribunal el 26 de octubre de 1981 solicitando la reforma inmediata del Código Penal y Ley de Enjuiciamiento Criminal, la aceleración urgente de su proceso juridico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18 de noviembre de 1981 acordó hacer saber al solicitante que según lo dispuesto en el art. 49.1, en relación con el 81.1 de la L.O.T.C., el amparo debe pedirse mediante demanda, con la dirección del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25 de noviembre de 1981,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