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GREPPI TORRES, presentó escrito en este Tribunal el 26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dia dos de diciembre pasado, acordó hacer saber al solicitante que según lo dispuesto en el art. 49.1, en relación con el 81.1 de la L.O.T.C., el amparo debe pedirse mediante demanda, con la dirección de Abogado y bajo la representación de Procurador. En su virtud, se otorgó al solicitante un plazo de diez dias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dias para que formalicen la demanda, tal como dispone el artículo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siete de diciembre de 1981, ha transcurrido el plazo de diez dias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El solicitante ha dejado transcurrir el plazo de diez días sin acogerse a la posibilidad de subsanación prevista en el artículo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articulo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