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Sr. García Domínguez, se dirigió a este Tribunal Constitucional en escrito que se recibió el veintiuno de octubre del pasado año, poniendo de manifiesto que lleva en prisión preventiva mes y medio, por razón de causa penal y solicitando la reforma del Código Penal y de la Ley de Enjuiciamiento Criminal, y si procede, su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acordó por providencia de dieciseis de diciembre pasado que el recurrente compareciera por medio de Procurador y bajo la dirección de Abogado, tal como dispone el artículo 81.1) de la L.O.T.C. y al notificársele esta providencia, se ha hecho constar por el Juzgado de Instrucción n° uno de Madrid que fue puesto en libertad provisional el diecinueve de octubre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las distintas peticiones que ha hecho el recurrente, sólo es materia propia del amparo la referente al derecho a un proceso debido sin dilaciones excesivas que generen una privación de libertad más allá de lo que el carácter preventivo requiere en orden a la instrucción penal, pues las otras peticiones de que se proceda a una reforma legislativa, no pueden tener como destinatario a este Tribunal Constitucional, como se infiere de las competencias que asigna el artículo 29 de la L.O.T.C. Como el recurrente ha sido puesto en libertad, el amparo deja de tener razón de ser, quedando por tanto sin contenido, lo que justifica el archivo de las actuaciones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recurso de que se ha hecho mérito por falta de contenido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