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Castañeira Ramirez presentó escrito en este Tribunal el día veintiuno de octubre del pasado año, solicitando la reforma inmediata del Código Penal y la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dieciocho de noviembre último,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veintisiete de noviembre,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