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González Cabellos presentó escrito en este Tribunal el 21 de octubre pasado solicitando la reforma inmediata del Código Penal y Ley de Enjuiciamiento Criminal, la aceleración urgente de su proceso jurídico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dieciocho de noviembre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dias para que designara Abogado y Procurador que lo defienda y represente, pudiendo, asimismo, interesar de este Tribunal que se haga el nombramiento de turno de oficio. Igualmente acordó hacer saber al solicitante que una vez nombrados Abogado y Procurador, y aceptado el nombramiento por éstos se otorgará un plazo de diez dias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dia dos de diciembre ha transcurrido el plazo de diez dias sin que el solicitante comparezca por medio de Abogado y Procurador, sin que tampoco haya solicitado el nombramiento de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 todos de la L .O.T.C.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