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Ruiz Hidalgo, se dirigió a este Tribunal Constitucional en escrito que se recibió el veintiuno de octubre del pasado año, poniendo de manifiesto que lleva en prisión preventiva cinco meses,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dieciseis de diciembre pasado que el recurrente compareciera por medio de Procurador y bajo la dirección de Abogado, tal como dispone el artículo 81.1) de la L.O.T.C., y al notificársele esta providencia, se ha hecho constar por el Juzgado de Instrucción once de Madrid que fue puesto en libertad provisional el cuatro de diciembre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delibertad más allá de lo que el carácter preventivo re quiere en orden a la instrucción penal, pues las otras peticiones, de que se proceda a una reforma legislativa, no pueden tener como destinatario a este Tribunal Constitucional, como se infiere de las competencias que asigna el artículo 2º de la L.O.T.C.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