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Sr. Durán García, se dirigió a este Tribunal Constitucional en escrito que se recibió el veintiséis de octubre del pasado año, poniendo de manifiesto que lleva en prisión preventiva dieciseis meses, por razón de causa penal y solicitando la reforma del Código Penal y de la Ley de Enjuicia miento Criminal, y si procede, su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acordó por providencia de dieciocho de noviembre pasado que el recurrente compareciera por medio de Procurador y bajo la dirección de Abogado, tal como dispone el artículo 81.1) de la L.O.T.C. y al notificársele esta providencia, se ha hecho constar por el Juzgado de Instrucción cuatro de Madrid que fue puesto en libertad provisional el veintiséis de octubre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distintas peticiones que ha hecho el recúrrente, sólo es materia propia del amparo la referente al derecho a un proceso debido sin dilaciones excesivas que generen una privación de libertad más allá de lo que el carácter preventivo requiere en orden a la instrucción penal, pues las otras peticiones de que se proceda a una reforma legislativa, no pueden tener como destinatario a este Tribunal Constitucional, como se infiere de las competencias que asigna el artículo 2º de la L.O.T.C. Como el recurrente ha sido puesto en libertad, el amparo deja de tener razón de ser, quedando por tanto sin contenido, lo que justifica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recurso de que se ha hecho mérito por falta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