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51</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20 de enero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Mohamed el Mokadén Abdelrramán presentó escrito en este Tribunal el veintiséis de octubre pasado, solicitando la reforma inmediata del Código Penal y Ley de Enjuiciamiento Criminal, la aceleración urgente de su proceso juridico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dieciocho de noviembre acordó hacer saber al solicitante que según lo dispuesto en el art. 49.1 en relación con el 81.1 de la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éstos se otorgará un plazo de diez días para que formalicen la demanda, tal como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día nueve de diciembre,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enero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