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Rodríguez Domínguez presentó escrito en este Tribunal el 26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cuatro de diciembre, ha transcurrido el plazo de diez días sin que el solicitan 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