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Pachá Piqueras presentó escrito en este Tribunal el veintiséis de octubre pasado, solicitando la reforma inmediata del Código Penal y Ley de Enjuiciamiento Criminal, la aceleración urgente de su proceso juridico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dieciocho de noviembre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dia quince de diciembre, ha transcurrido el plazo de diez días sin que el solicitan 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