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Díaz Cuartero, se dirigió a este Tribunal Constitucional en escrito que se recibió el veintiséis de Octubre del pasado año, poniendo de manifiesto que lleva en prisión preventiva dos meses,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dieciséis de diciembre pasado que el recurrente compareciera por medio de Procurador y bajo la dirección de Abogado, tal como dispone el artículo 81.1) de la L.O.T.C., y al notificársele esta providencia, se ha hecho constar por el Juzgado de Instrucción nº uno de Madrid que fue puesto en libertad provisional el tres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