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ximiliano Millán Resino presentó escrito en este Tribunal el 26 de octubre de 1.981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seis de diciembre acordó hacer saber al solicitante que según lo dispuesto en el art. 49.1, en relación con el 81.1 de la Ley Orgánica del Tribunal Constitucional, (L.O.T.C .), el amparo debe pedirse mediante demanda, con la dirección de Abogado y bajo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8 de diciembre, ha transcurrido el plazo de diez días sin que el solicitante com 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