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enero de 1982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recurrente Sr. García Martin, se dirigió a este Tribunal Constitucional en escrito que se recibió el 21 de Octubre del pasado año, poniendo de manifiesto que lleva en prisión preventiva un mes, por razón de causa penal y solicitando la reforma del Código Penal y de la Ley de Enjuiciamiento Criminal, y si procede, su libertad provisional.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Se acordó por providencia de 2 de Diciembre pasado que el recurrente compareciera por medio de Procurador y bajo la dirección de Abogado, tal como dispone el artículo 81.1 de la L.O.T.C. y al notificársele esta providencia, se ha hecho constar por el Juzgado de Instrucción nº cuatro de Madrid que fue puesto en libertad provisional el 1 de Diciembre pasado.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De las distintas peticiones que ha hecho el recurrente, sólo es materia propia del amparo la referente al derecho a un proceso debido sin dilaciones excesivas que generen una privación de libertad mas allá de lo que el carácter preventivo requiere en orden a la instrucción penal, pues las otras peticiones de que se proceda a una reforma legislativa, no pueden tener como destinatario a este Tribunal Constitucional, como se infiere de las competencias que asigna el artículo 2° de la L.O.T.C. Como el recurrente ha sido puesto en libertad, el amparo deja de tener razón de ser, quedando por tanto sin contenido, lo que justifica el archivo de las actuaciones.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En su virtud, la Sección acuerda declarar la-inadmisibilidad del recurso de que se ha hecho mérito por falta de contenido constitucional.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veintiuno de enero de mil novecientos ochenta y dos.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