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1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amón Andrés Sánchez Águila presentó escrito en este Tribunal el 26 de octubre de 1981 solicitando la reforma inmediata del Código Penal y Ley de Enjuiciamiento Criminal, la aceleración urgente de su proceso jurí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nueve de dic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designara Abogado y Procurador que lo defienda y represente, pudiendo, asimismo, interesar de este Tribunal que se haga el nombramiento del turno de oficio. Igualmente acordó hacer saber al solicitante, que una vez nombrados Abogado y Procurador, y aceptado el nombramiento por estos se otorgará un plazo de diez días para que formalicen la demanda, tal como dispone el art. 49 de la L.O.T.C.. A estos efectos, si pidiere el nombramiento de oficio, podrá remitir al Tribunal Constitucional una relación circunstanciada de los hechos en</w:t>
      </w:r>
    </w:p>
    <w:p w:rsidRPr="00C21FFE" w:rsidR="00AD51A7" w:rsidRDefault="008777C4">
      <w:pPr>
        <w:rPr/>
      </w:pPr>
      <w:r w:rsidRPr="&lt;w:rPr xmlns:w=&quot;http://schemas.openxmlformats.org/wordprocessingml/2006/main&quot;&gt;&lt;w:lang w:val=&quot;es-ES_tradnl&quot; /&gt;&lt;/w:rPr&gt;">
        <w:rPr/>
        <w:t xml:space="preserve">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15 de diciembre,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