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Sánchez Sánchez, se dirigió a este Tribunal Constitucional en escrito gue se recibió el veintiseis de octubre del pasado año, poniendo de manifiesto que lleva en prisión preventiva cinco días,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nueve de diciembre pasado que el recurrente compareciera por medio de Procurador y bajo la dirección de Abogado, tal como dispone el artículo 81.1 de la L.O.T.C. y al notificársele esta providencia, se ha hecho constar por el Juzgado de Instrucción nº 11 de Madrid que fué puesto en libertad provisional el 14 de diciembre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mas allá de lo que el carácter preventivo requiera en orden a la instrucción penal, pues las otras peticiones de que se proceda a una reforma legislativa, no pueden tener como destinatario a este Tribunal Constitucional, como se infiere de las competencias que asigna el artículo 2º de la L.O.T.C. Como el recurrente ha sido puesto en libertad, el amparo deja de tener razón de ser, quedando por tanto sin contenido, lo que justifica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