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Adolfo Cuevas Magro presentó escrito en este Tribunal el 26 de octubre pasado solicitando la reforma inmediata del Código Penal y Ley de Enjuiciamiento criminal, la aceleración urgente de su proceso jurídico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día 25 de noviembre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estos se otorgará un plazo de diez días para que formalicen la demanda, tal como dispone el art. 49 de la L.O.T.C. A estos efectos, si pidiere el nombramiento de oficio, podrá remitir al Tribu nal Constitucional una relación circunstanciada de los hechos en que funde el amparo y los documentos con que cuente para justificarlos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14 de diciembre último,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