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85</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3 de febrero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Miguel Ángel Cano González presentó escrito en este Tribunal el 30 de octubre pasado solicitando la reforma inmediata del Código Penal y Ley de Enjuiciamiento Criminal, la aceleración urgente de su proceso juridico y juicio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25 de noviembre pasado acordó hacer saber al solicitante que según lo dispuesto en el art. 49.1, en relación con el 81.1 de la L.O.T.C., el amparo debe pedirse mediante demanda, con la dirección de Abogado y bajo la representación de Procurador. En su virtud se otorgó al solicitante un plazo de diez días para que designara Abogado y Procurador que lo defienda y represente, pudiendo, asimismo, interesar de este Tribunal que se haga el nombramiento del turno de oficio. Igualmente acordó hacer saber al solicitante, que una vez nombrados Abogado y Procurador, y aceptado el nombramiento por éstos se otorgará un plazo de diez días para que formalicen la demanda, tal como dispone el art. 49 de la L.O.T.C. A estos efectos, si pidiere el nombramiento de oficio, podrá remitir al Tribunal Constitucional una relación circunstanciada de los hechos en que funde el amparo y los documentos con que cuente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día 14 de diciembre último, ha transcurrido el plazo de diez días sin que el solicitante comparezca por medio de Abogado y Procurador, sin que tampoco haya solicitado el nombramiento del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ha dejado transcurrir el plazo de diez días sin acogerse a la posibilidad de subsanación prevista en el art. 85.2 de la L.O.T.C. pues ni ha comparecido por medio de Procurador y con la asistencia de Letrado, ni ha pedido a este Tribunal que se designen profesionales del turno de oficio. El transcurso del indicado plazo sin que se subsanara la omisión determina la inadmisión del recurso tal como dispone el art. 50.1.b en relación con el 49.1 y 80.1,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febrero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