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Baraona Vizcaino, se dirigió a este Tribunal Constitucional en escrito que se recibió el veintiséis de octubre del pasado año, poniendo de manifiesto que lleva en prisión preventiva un mes,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dieciséis de diciembre pasado que el recurrente compareciera por medio de Procurador y bajo la dirección de Abogado, tal como dispone el articulo 81.1) de la Ley Orgánica del Tribunal Constitucional (L.O.T.C.),y al notificársele esta providencia, se ha hecho constar por el Juzgado de Instrucción nueve de Madrid que fue puesto en libertad provisional el nueve de diciembre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Único.-De las distintas peticiones que ha hecho el recurrente,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no pueden tener como destinatario a este Tribunal Constitucional, cornos se infiere de las competencias que asigna el articulo 2º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