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López García presento escrito en este Tribunal el día veintiuno de Octubre del pasado año, solicitan do la reforma inmediata del Código Penal y la Ley de Enjuiciamiento Criminal, la aceleración urgente de su proceso jurídico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día dieciocho de Noviembre último, acordó hacer saber al solicitante que, según lo dispuesto en el art. 49.1, en relación con el 81.1 de la Ley Orgánica del Tribunal Constitucional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veintiocho de Noviembre del pasado año, ha transcurrido el plazo de diez dias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disponen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