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Pilar Marta Bermejillo de Hevia, en representación de don Francisco Manuel Galacho Martín, presentó el día 31 de diciembre de 1981, ante este Tribunal, demanda de amparo, alegando la posible violación de los arts. 14, 16.1 y 2, y 30.2 de la Constitución, por la resolución de la Junta de Clasificación y Revisión Jurisdiccional de la Zona Marítima del Estrecho, de fecha 4 de noviembre de 1981, denegándole la incorporación aplazada al servicio militar, pedida como objetor de conciencia, debiendo de incorporarse a filas con el segundo llamamiento de 1982. En el otrosí de dicha demanda, solicitó la suspensión de la orden de incorporación a filas, en tanto se sustanciaba el recurso, pues si fuera fallado después de la fecha de incorporación a filas, el recurso de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dictó providencia el 17 del mes en curso, admitiendo a trámite la demanda, y acordando formar pieza separada de suspensión, conforme a lo dispuesto en el art. 56.2 de la Ley Orgánica del Tribunal Constitucional, concediendo un plazo de tres días al Ministerio Fiscal, al Abogado del Estado como representante de la Administración, y a la parte actora, para que alegasen lo que estimaren conveniente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realizó la parte solicitante del amparo alegación alguna. El Ministerio Fiscal formuló escrito precisando en definitiva, no encontrar motivos legales de oposición a la solicitud de suspensión. Y el Abogado del Estado alegó que debía valorarse la conducta del recurrente como participante en la formación del «perjuicio irreparable» que fundamenta la petición de suspensión, y estimarse la posible perturbación grave de los intereses generales, lo que conducía a la denegación de la suspensión pretendida por aquél.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 emanado de los poderes públicos que se combate en el recurso de amparo constitucional como presuntivamente lesivo, puede ser objeto de pretensión de suspensión de su ejecución, según el art. 56 de la Ley Orgánica del Tribunal Constitucional (LOTC), cuando su material efectividad, previsiblemente ocasione un perjuicio particular al recurrente, que haría perder al amparo su finalidad por originar una situación irreversible; pero este principio puede dejarse de aplicar, si concurre alguna de las dos excepciones que dicha norma precisa; cuando la suspensión determine perturbación grave de los intereses generales, o de los derechos fundamentales o libertades públicas de un tercero; a cuyo fin debe hacerse una ponderación racional de los valores personales, comunitarios o de otros sujetos encontrados entre sí, para conocer los de naturaleza preferente, que conduzcan, bien al otorgamiento o bien a la denegación de la referida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siendo la pretensión esencial ejercitada en el proceso, la de conseguir el recurrente, como objetor de conciencia, prórroga de incorporación a filas, hasta que se dicte la Ley que prevé el art.  30.2 de la Constitución, estableciendo con las debidas garantías, dicho derecho de objeción y la posible prestación social sustitutoria, es evidente, que de no suspenderse el acto que dispone la inmediata incorporación a filas del solicitante, se le originaría un perjuicio personal irreversible, sin posible restitución posterior, ya que su permanencia en el servicio mientras se tramita y resuelve la pretensión, haría perder al amparo su finalidad y dejaría sin virtualidad alguna su posible derecho, estando en principio protegido por una norma constitucional abstracta, en vías de próxima y concreta regulación legal, y como ya precisó el Auto de este Tribunal de 29 de octubre pasado, si fuera desestimado el recurso, sólo significaría una demora o retraso en la fecha de incorporación a filas.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contra de lo acabado de exponer, no pueden admitirse los dos argumentos expuestos por el Abogado del Estado, tendente el primero a negar que la incorporación a filas ocasione el perjuicio irreparable que haga perder al amparo su finalidad, porque el solicitante cooperó con su conducta a crear la situación que le beneficia, cuando pudo bloquear dicha incorporación recurriendo en alzada la orden con eficacia suspensiva -arts.  433 y 434 del Reglamento de la Ley General del Servicio Militar, de 6 de noviembre de 1969-, sin que lo hiciera, pues con ello se plantea una cuestión de fondo que no es posible decidir anticipadamente en vía incidental concreta, sobre si el recurso de alzada es de carácter potestativo u obligatorio, antes de entablar el amparo, y además debe de tenerse en cuenta que no consta ni puede estimarse esta contribución causal en quien se ampara en un derecho que cree corresponderle, y evita ejercitar un remedio que cree no debe realizar, por así estimarlo jurídicamente su Letrado; y dirigido el segundo a poner de relieve la presencia de la excepción legal operante contra la suspensión, por la presencia de perturbarse gravemente los intereses generales, basada en la posible trascendencia publicitaria de la concesión de aquel beneficio, con la posterior formulación de «amparos en masa», sobrecargadas de asuntos, dilación de los plazos para el fallo, y dificultad de variación del criterio permisivo del Tribunal otorgando la suspensión del acto recurrido, con argumentación que debe rechazarse, porque se opera con encadenadas hipótesis, sólo meramente posibles en el futuro, apartándose de la realidad presente sobre la que el Tribunal actúa, que sólo manifiesta tres recursos de amparo en tramitación promovidos por objetores de conciencia, en número exiguo que no puede amparar tal previsión, dado el carácter individual y singularísimo de la excusa, y que no incide sobre el interés general, pero si el porvenir confirmara el evento indicado, haciendo prevalente el interés colectivo sobre el individual, resultaría posible tener en estima el cambio en la ponderación de los valores y adaptar la doctrina constitucional a una nueva realidad fáctica, evitando los posibles fraudes o abusos y los perjuicios a la comunidad; sin que por ello pueda atenderse tampoco a la propuesta, de no bastar la mera alegación de la objeción de conciencia, debiéndose exigir un principio de prueba sobre la seriedad de la causa, porque ello supondría, por un lado, prejuzga el alcance de la futura Ley, y por otro, interpretar prematuramente y en vía incidental el contenido y eficacia del art.  16.2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acordó, por todo lo expuesto, la suspensión de la orden de incorporación a filas de don Francisco Manuel Galacho Martín, lo que se comunicará a la Comandancia Militar de Málaga a los oportunos efectos.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