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Fernando Diaz Cajigal presentó escrito en este Tribunal el 26 de Octubre pasado, solicitando la reforma inmediata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pasado, acordó hacer saber al solicitante que según lo dispuesto en el art. 49.1 en relación con el 81.1 de la Ley Orgánica del Tribunal Constitucional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cuenta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diecisiete de Febrero último ha transcurrido el plazo de diez días sin que el solicitante comparezca por medio de Abogado y Procurador, sin que tampoco haya solicitado el nombramiento de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 turno de oficio. El transcurso del indicado plazo sin que se subsanara la omisión determina la inadmisión del recurso tal como dispone el art. 50.1. b) en relación con el 49.1 y 80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