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abril de 1982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 ha estudiado la petición de recibimiento a prueba que hace el demandante en otrosí de su escrito de demanda,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demandante solicita por otrosí de la demanda el recibimiento a prueba sobre los siguientes puntos: 1.° nulidad del despido; 2.° presentación de la demanda por despido nulo o, subsidiariamente, improcedente en el Juzgado de Guardia el día 9-VII-1979; 3.° existencia de contradicciones entre las Sentencias de 6-X-1980 y 16-X-1981 de la Excma. Sala Sexta del Tribunal Supremo; 4.° actividad antisindical de la Empresa; 5.° no recepción de la carta el día 10-VII-1979.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El codemandado Schering España, S. A., se opuso a la petición actora aduciendo que si el art. 80 de la LOTC establece el carácter supletorio de la L. E. C., el recurrente debió haber solicitado el recibimiento a prueba instrumentando los medios que esta última autoriza; y, además -alegaba asimismo-, que los extremos sobre los que el recurrente entiende que debe versar la prueba tienden a entrar en el fondo debatido por las Sentencias de las Magistraturas y del Tribunal Supremo, esto es, a revisar sus hechos declarados probados.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Los puntos fácticos señalados por el actor en el otrosí de petición de recibimiento a prueba carecen de trascendencia para decidir este proceso, en cuanto se dirige contra la Sentencia del Tribunal Supremo (Sala Sexta) de 16 de octubre de 1981; pues aquéllos no guardan relación con el objeto de dicha Sentencia.  Por esto, teniendo en cuenta lo dispuesto en el art. 89 de la LOTC y lo que establece el art. 44.1 b) también de la LOTC, no procede la práctica de la prueba.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expuesto, la Sala acuerda denegar la petición de recibimiento a prueba.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veintiuno de abril de mil novecientos ochenta y dos.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