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144</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21 de abril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su reunión del día hoy, ha estudiado la petición de suspensión que hace el recurrente don Miguel Angel Muñoz Cobos y, en su nombre, su Procurador, doña Pilar Marta Bermejillo de Hevia.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señor Muñoz Cobos, en el escrito de interposición del recurso de amparo del que esta pieza trae causa, interesó que en aplicación de lo dispuesto en el art. 56.2 de la Ley Orgánica del Tribunal Constitucional se disponga la suspensión de su incorporación a filas, en tanto se sustancia el presente recurso, porque, en otro caso, el amparo perdería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del 3 de marzo se acordó admitir a trámite la demanda de amparo y formar la correspondiente pieza separada para la sustanciación del incidente de suspensión. En este trámite presentaron escritos el Fiscal General, el Abogado del Estado y el recurrente; éste ratificando la petición de suspensión y el Fiscal y el Abogado del Estado oponiéndose a la misma. El Abogado del Estado sugirió que en aplicación del art. 56.2 de la LOTC se interese de la autoridad responsable de la ejecución un informe sobre la repercusión potencial en el servicio de la medida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Sala, por providencia del 17 de marzo, acordó interesar de la Junta de Clasificación y Revisión Jurisdiccional de la Zona Marítima del Estrecho que de conformidad con lo dispuesto en el art. 56 de la LOTC informase acerca de los términos en que se produjo la solicitud de aplazamiento de incorporación a filas del recurrente. En contestación a ese escrito de este Tribunal Constitucional, la Junta de Clasificación y Revisión comunicó que con fecha 25 de febrero se concedió al mozo Miguel Angel Muñoz Cobos la incorporación aplazada como objetor de conciencia.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acordó, por providencia del día 24 de marzo, poner de manifiesto al recurrente, al Fiscal y al Abogado del Estado el contenido de la comunicación antedicha para alegaciones por plazo común de tres días, y en este plazo han formulado alegaciones el Abogado del Estado y el Fiscal, quienes entendieron que la suspensión solicitada quedaba sin contenido. La parte recurrente dejó transcurrir el plazo dicho sin hacer manifestación alguna; presentando posteriormente escrito en el que manifestó que la suspensión solicitada no queda satisfecha por el aplazamiento de incorporación a filas que, al no estar determinado en el tiempo, pudiera ser anulado, ordenando tal incorporación en un posterior reemplazo.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Suspendida la orden de incorporación a filas, y concedido por la Autoridad Militar competente el aplazamiento solicitado, con causa en la objeción de conciencia, la petición de suspensión ha quedado sin contenido, por cuanto lo que se pide ha sido concedido.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ha acordado que no ha lugar a resolver respecto de la petición de suspensión de la ejecución del acto por razón del cual se formula el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abril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