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marzo de 1982 se recibió en este Tribunal escrito de don F. B. C., en que solicitaba la remisión de las certificaciones académicas extendidas a su favor por la Escuela Técnica Superior de Ingenieros Industriales de la Universidad Politécnica de Valencia para que surtieran efectos en Barcelona, en que se encuentra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21 de abril del mismo año se dictó por este Tribunal providencia por la que, entre otros extremos, se acordaba notificar al solicitante la posible existencia de la causa de inadmisibilidad consistente en la falta de postulación, al no estar representado por Procurador ni actuar bajo la dirección de Letrado, concediéndole el plazo de diez días para que procediera a la subsanación de este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al solicitante, ni ha subsanado el defecto ni ha hecho manifestación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81.1 de la Ley Orgánica del Tribunal Constitucional (LOTC) dispone que las personas físicas o jurídicas cuyo interés les legitime para comparecer en los procesos constitucionales como actores o coadyuvantes deberán conferir su representación a un Procurador y actuar bajo la dirección de Letrado.  El incumplimiento de estos requisitos constituye un defecto subsanable, de acuerdo con lo dispuesto en los arts. 50 y 85.2 de la misma LOTC; pero, al no haberse subsanado en el plazo oportuno, se convierte en defecto insubsanable y en motivo de inadmisión, con arreglo a los preceptos 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