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195</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2 de junio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En el indicado asunto, la Sección ha dictado en el día de hoy el presente Auto, con base en los siguientes antecedentes y fundamentación jurídica.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providencia de 24 de marzo se ordenó en este recurso el trámite de alegaciones que establece el art. 52.1 de la Ley Orgánica de este Tribunal, trámite que fue, efectivamente, cumplimentado por las partes y el Ministerio Fiscal; el Abogado del Estado pidió en su escrito de alegaciones el recibimiento a prueba del recurso. De dicha petición se dio traslado al Ministerio Fiscal y a las partes.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Ministerio Fiscal y la representación del codemandado mostraron su conformidad al recibimiento a prueba del proceso; no formulando manifestación alguna la parte demandante. </w:t>
      </w:r>
    </w:p>
    <w:p w:rsidRPr="00C21FFE" w:rsidR="00AD51A7" w:rsidRDefault="008777C4">
      <w:pPr>
        <w:rPr/>
      </w:pPr>
      <w:r w:rsidRPr="&lt;w:rPr xmlns:w=&quot;http://schemas.openxmlformats.org/wordprocessingml/2006/main&quot;&gt;&lt;w:lang w:val=&quot;es-ES_tradnl&quot; /&gt;&lt;/w:rPr&gt;">
        <w:rPr/>
        <w:t xml:space="preserve">A estos hechos es de aplicación los siguientes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Habiéndose solicitado el recibimiento a prueba por el Abogado del Estado y no habiéndose opuesto el Ministerio Fiscal ni las demás partes, y pudiendo ser relevantes para la decisión del proceso las pruebas que el solicitante señala, procede acordar el recibimiento a prueba del proceso.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la Sección acuerda recibir a prueba este recurso de amparo por plazo de treinta días para la práctica de la documental interesada por el Abogado del Estado en otrosí de su escrito de alegaciones. Debiendo librarse el correspondiente</w:t>
      </w:r>
    </w:p>
    <w:p w:rsidRPr="" w:rsidR="00AD51A7" w:rsidRDefault="008777C4">
      <w:pPr>
        <w:rPr/>
      </w:pPr>
      <w:r w:rsidRPr="&lt;w:rPr xmlns:w=&quot;http://schemas.openxmlformats.org/wordprocessingml/2006/main&quot;&gt;&lt;w:szCs w:val=&quot;24&quot; /&gt;&lt;/w:rPr&gt;">
        <w:rPr/>
        <w:t xml:space="preserve">despacho a la Sala Tercera del Tribunal Supremo.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junio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