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Carlos Estévez Fernández-Novoa, en representación de don Ernesto Díaz Benedicto, formuló demanda de amparo, registrada el 13 de abril de 1982, contra la Sentencia del Juzgado de Instrucción núm. 3 de Zaragoza, de 24 de noviembre de 1981, y contra la que la confirmó, de la Audiencia Provincial, de 22 de marzo de 1982, que le condenaron como autor de un delito de lesiones menos graves: alegando la infracción del art. 24.2 de la Constitución en cuanto reconoce el derecho a la presunción de inocencia; y solicitando Sentencia de este Tribunal Constitucional, declarando la nulidad de la «resolución impugnada», reconociendo el derecho a la presunción de inocencia, y restableciendo al recurrente en la integridad del mismo, con la adopción de las medidas apropiadas para su conservación.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en providencia de 28 de abril, acordó hacer conocer al Procurador indicado la posible existencia de dos motivos de inadmisión de carácter insubsanable: a) no aparecer justificada la invocación formal en el recurso de apelación ante la Audiencia del derecho constitucional vulnerado por la Sentencia del Juzgado de Instrucción núm. 3 de Zaragoza, y b) carecer la demanda manifiestamente de contenido que justificare una decisión por parte del Tribunal Constitucional; concediéndole un plazo de diez días, así como al Ministerio Fiscal, para que alegaren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dicha providencia al Procurador el 5 de mayo de 1982, transcurrieron los diez días indicados, sin que efectuare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escrito alegando: no poder pronunciarse sobre el cumplimiento de lo dispuesto en el art. 44.1 c) de la Ley Orgánica del Tribunal Constitucional (en lo sucesivo, LOTC), porque entre los documentos remitidos no obraba copia de la Sentencia relativa a la Audiencia; y que de la escasa documentación unida a la demanda, se advierte la disconformidad del recurrente con las decisiones judiciales, tanto en orden a la admisión de medios de prueba como a la definitiva decisión de éstos, condenatorias en ambos casos, lo que mal puede entenderse constituya carencia de tutela efectiva, ni indefensión o vulneración de la presunción de inocencia esgrimida, por lo que se está en el supuesto del art. 50.2 b) de la Ley mencionada, interesando se dicte Auto, acordando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fundamental de la presunción de inocencia establecido en el art.  24 de la Constitución, como viene reconociendo con reiteración esta Sala a partir de la Sentencia de 28 de julio de 1981, supone para toda persona estar protegida por una presunción iuris tantum de ausencia de culpabilidad, hasta que se destruya por reproche condenatorio en la Sentencia penal, basado en la presencia de medio o medios de prueba de cargo, producidos con las debidas garantías procesales, y apreciados y valorados libremente en conciencia por el Tribunal penal, según determina el art. 741 de la Ley de Enjuiciamiento Criminal, sin que en tal supuesto pueda este Tribunal Constitucional convertirse en un órgano revisor o tercera instancia, ponderando las pruebas o alterando los hechos probados, al impedírselo el art.  44.1 b) de la LOTC, por pertenecer al ámbito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posición doctrinal conduce a estimar en el caso de examen no haberse producido, ni por el Juzgado ni por la Audiencia penal, la vulneración de la presunción de inocencia alegada, puesto que rotundamente se afirma en ambas Sentencias que los «hechos probados están acreditados por el atestado de la Guardia Civil y declaración de testigos y del encartado», lo que constituyeron pruebas suficientes y varias para formar el estado de conciencia, en ponderación libre, por ambos órganos judiciales, que condujeron a estimar autor del delito de lesiones al recurrente, sin que puedan aceptarse las alegaciones hechas gratuitamente en la demanda, de que sólo existió la declaración del lesionado para condenar, pues está rotundamente contradicha por la presencia de pruebas distintas, al menos de dos testigos y el propio testimonio del recurrente, no respetándose los hechos probados, que son intangibles para éste, y también para el Tribunal Constitucional, según el art. 44.1 b) de la LOTC, por lo que al tender improcedentemente a desvirtuar el ámbito del recurso de amparo, convirtiéndolo en una tercera instancia, es evidente que se incurre en la causa de inadmisión establecida en el art. 50.2 b) de la misma Ley, por carecer la demanda manifiestamente de contenido que justifique una decisión de fondo por este Tribunal; a la que ha de agregarse la ausencia de invocación formal del derecho vulnerado ante la Audiencia, pues no consta demostrado, tal y como exige el art. 44.1 c), ya que en la expresiva Sentencia de aquel órgano nada se recoge en tal sentido, y minuciosamente analiza todas las alegaciones sobre autoría, relación causal y circunstancias concurrentes en el hecho delictivo, por lo que la infracción de la alegación de inocencia se produce ex novo ante este Tribunal, de forma improcedente.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inadmitir a trámite el recurso de amparo,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