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13 de marzo de 1981 la Procuradora de los tribunales doña María José Millán Valero, en nombre y representación de don Francisco Casero Rodríguez, interpone recurso de amparo contra Sentencia de la Audiencia Provincial de Sevilla, en la que se condena a su representado, como autor de un delito de manifestación ilegal, a la pena de un mes y un día de arresto mayor, con las accesorias de suspensión de todo cargo público, profesión, oficio y derecho de sufragio durante el tiempo de la condena, y multa de 25.000 pesetas con arresto sustitutorio de dieciséis días, caso de impago, y al pago de las costas causadas en primera instancia, e interesa, por otrosí, la suspensión de la ejecución de dicha sentencia por estimar que dicha ejecución habría de ocasionar al recurrente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mayo de 1982, una vez admitido a trámite el recurso, la Sección Primera de la Sala Primera de este Tribunal acuerda la apertura de la correspondiente pieza separada de suspensión y, conforme a lo dispuesto en el art. 56.2 de la Ley Orgánica del Tribunal Constitucional (LOTC), otorgar un plazo común de tres días al Ministerio Fiscal y a la parte actora para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13 de mayo de 1982, el Ministerio Fiscal manifiesta que no se opone a que se acceda a la suspensión solicitada especialmente en cuanto se refiere a la privación de libertad, si bien considera que tal suspensión sólo podrá afectar a la ejecución del fallo sin perjuicio de las facultades legales que el órgano judicial competente conserva en todo momento para la adopción de medidas precautorias destinadas a asegurar que el condenado se halle a disposición del Tribunal. Estima el Ministerio Fiscal que en el presente caso existen circunstancias especiales que pueden ser apreciadas positivamente en orden a la suspensión: la levedad de la pena privativa de libertad impuesta en la Sentencia impugnada y la admisión a trámite de la demanda de amparo que puede servir de fundamento para entender acreditado, a los solos efectos de esta petición, el requisito de apariencia de viabilidad.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escrito de 20 de mayo de 1982, reitera su solicitud de suspensión, alegando que la ejecución del fallo de la Sentencia impugnada ocasionaría un perjuicio que haría perder al amparo su finalidad, ya que, en el caso de que éste se otorgara, una vez cumplido el arresto antes citado sería imposible restablecer al recurrente en la integridad de su derecho, y que de la suspensión solicitada no puede derivarse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Por otra parte -añade dicha suspensión debe acordarse sin afianzamiento, pues de ella no pueden seguirse daños y perjuicios para los derechos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el presente caso, de conformidad con el art. 50.1 de la LOTC, procede la suspensión solicitada por el recurrente, dado que de ésta no se sigue perturbación grave de los intereses generales o de los derechos fundamentales o libertades públicas de un tercero, y, en cambio, es indudable que la ejecución de la resolución judicial impugnada haría perder al amparo su finalidad, existiendo además, como señala el Ministerio Fiscal, circunstancias especiales que pueden ser apreciadas positivamente en orden a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conceder la suspensión solicitada por don Francisco Casero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