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8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Carrascal de la Lama y don José Muñoz Ortiz, representados por el Procurador don Emilio Alvarez Zancada, interpusieron ante este Tribunal Constitucional recurso de amparo contra la Sentencia dictada por la Sala Tercera del Tribunal Supremo, de 16 de febrero de 1982, recaída en el recurso extraordinario de revisión núm. 306.234, formulado por los mismos demandantes contra Sentencia de la Sala Segunda de lo Contencioso-Administrativo de la Audiencia Territorial de Barcelona, en el recurso que confirmaba Sentencia desestimatoria de demanda presentada contra el Fondo de Garantía Salarial, que fijaba a los recurrentes una cantidad en concepto de indemnización por despido improcedente, equivalente a tres meses de salarios, a pesar de que la Magistratura de Trabajo de Barcelona había fijado cantidades muy superiores a dichos tres meses de sal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ste Tribunal Constitucional dictó Sentencia en el recurso de amparo núm. 21/1982, interpuesto en supuesto sustancialmente igual al presente; Sentencia que desestimaba la demanda interpuesta por los allí recurrentes y que fue publicada en el «Boletín Oficial del Estado» del día 4 de agost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con fecha 9 de septiembre actual se presentó en el Registro General de este Tribunal escrito de la representación de los recurrentes, en el que se hace constar que por razones de economía procesal y constitucional entiende que no son precisos nuevos pronunciamientos acerca del mismo tema, por lo que solicita se tenga a los recurrentes por desistidos del recurso de ampar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ctor, una vez conocida la Sentencia que esta Sala ha pronunciado en el proceso de amparo núm. 21/1982, en supuesto sustancialmente igual, ha desistido del presente recurso. Si bien la desestimación del recurso 21/1982 ha podido operar como causa sobrevenida de inadmisibilidad del art. 50.2 c) de la Ley Orgánica del Tribunal Constitucional -y por esto se dispuso el trámite de este artículo- debe darse preferencia a la voluntad de los recurrentes de apartarse de este recurso, expresada en forma.  Y con causa justificada, que hace innecesario arbitrar un trámite de audiencia del Ministerio Fiscal y del Abogado del Estado, declarando, en consecuencia, terminado este proceso por desist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terminado este proceso por desistimiento de los act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