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ha examinado los autos del recurso de amparo núm. 459/1982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9 de septiembre de 1982, el Consejo de Guerra de Oficiales Generales constituido al efecto dictó Sentencia condenando a don Manuel Ruiz Mateos, como autor del delito de negligencia en el cumplimiento de sus deberes militares previsto y penado en el art. 391.2 del Código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Sentencia interpuso demanda de amparo, por presunta vulneración de los arts. 24.1 y 25.1 de la Constitución Española (C.E.), demanda que fue admitida a trámite. Se acordó además, según lo solicitado en ella, la formación de pieza separada de suspensión y otorgar un plazo de tres días al Ministerio Fiscal y al recurrente para formular alegaciones en dicha pieza.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24 de febrero de 1983, el Fiscal, entendiendo que de la ejecución de la resolución impugnada podría derivarse al recurrente un perjuicio irreparable, informó favorablemente la solicitud de suspensión, sin que, por parte del actor se formulara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Dada la brevedad de la pena impuesta en la Sentencia impugnada, la ejecución de la misma podría hacer perder al amparo su finalidad, y teniendo en cuenta que con la suspensión ni padecen los intereses generales ni se perturban derechos de terceros, es evidente que concurren los requisitos exigidos en el núm. 1 del art. 56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acceder a la suspensión solicitada, lo que deberá comunicarse urgentemente a las autoridades responsables de la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