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petición del recurrente de que se proceda a la práctica de prueba.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presente recurso de amparo se ha planteado contra el Auto de la Sala de Justicia del Consejo Supremo de Justicia Militar del 17 de marzo de 1981, que desestima el recurso de queja interpuesto «contra denegaciones procesales» en el expediente judicial 69-V-1980, III Región Militar, y en recurso de amparo se alega que el recurrente había solicitado pruebas que no fueron practicadas, habiéndose fallado sin resolver expresamente sobre las cuestiones planteadas en orden a las garantías procesales. Se invocan los derechos del art. 24.2 de la Constitución: el derecho a la defensa, el derecho a la presunción de inocencia, el derecho a utilizar los medios de prueba y, en general, todos los establecidos en el indicado art. 24.2 y se pide que, tras declarar la conculcación de estas garantías, se anule el proceso a partir del momento en que tales garantías fueron conculcadas.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alegaciones, y para el supuesto de entrar a conocer del fondo del asunto y para la no imposición de sanción alguna, por no responder la conducta del recurrente a la tipificación de la falta imputada pidió el recibimiento a prueba del recurso. En escrito posterior precisó que los hechos a probar son los siguientes: A) que existió una discriminación no legal en la reiteración del trámite de notificar las calificaciones al recurrente, con la destrucción arbitraria de sus primeras clasificaciones; B) que no existen correctivos anteriores al trámite en que surge este conflicto, impuestos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Vistos los hechos a probar y los medios probatorios propuestos, unos y otros podrán ser pertinentes para resolver acerca de la procedencia o improcedencia de la sanción disciplinaria, pero son irrelevantes para decidir sobre si en el procedimiento disciplinario o sancionatorio se cumplieron o no las garantías que impone el art.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petición de recibimiento a prueba.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