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abril de 1983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la petición de amparo que formula don Jacinto Garijo Contreras.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En 24 de enero pasado ingresó en este Tribunal escrito que dirigían don Jacinto Garijo Contreras y doña Consuelo Caballo de Miguel, ambos consortes y Maestros Nacionales jubilados, solicitando amparo constitucional respecto a los derechos pasivos que les corresponden y que no les son satisfechos, exponen, con quebranto de los arts. 14 y 50 de la Constitución.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La Sección, por providencia de 23 de febrero puso de manifiesto al señor Garijo la exigencia de que formulase su demanda de amparo por medio de Procurador y Abogado de su designación o de oficio, y que, previamente a esta vía constitucional, debían agotar la judicial procedente; concediéndoles un plazo de diez días para subsanar y justificar los requisitos manifestados.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Dicho proveído se notificó personalmente al señor Garijo en 14 de marzo pasado, no habiéndose recibido escrito alguno desde esa fecha.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Los recurrentes han dejado transcurrir el plazo de diez días otorgado para que pudieran sostener el recurso de amparo como exigen los arts. 43, 49 y 81 de la Ley Orgánica de este Tribunal, conforme a los cuales son inexcusables el agotamiento de la vía judicial previa, los requisitos formales de la demanda y la postulación procesal al cargo de Abogado y Procurador de su designación o de oficio; en ese plazo no han presentado alegación ni petición alguna.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 la Sección acuerda declarar la inadmisibilidad de este recurso.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veinte de abril de mil novecientos ochenta y tres.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