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21 de septiembre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Fernández Cabado.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Señor Fernández Cabado, representado por el Procurador señor Corujo y López Villamil y defendido por sí mismo, interpuso el 4 de junio del año actual recurso de amparo contra la Sentencia del Tribunal Supremo (Sala Sexta) de 28 de abril anterior pronunciada en el recurso de revisión, alegando en la misma: a) que presentada demanda por despido contra la empresa «Schering España, S. A.» el día 4 de agosto de 1979, fue repartida a la Magistratura de Trabajo núm. 9 de Madrid, que la desestimó el 18 de febrero de 1980, por caducidad de la acción; b) contra esta Sentencia interpuso recurso de Casación, que fue desestimado por el Tribunal Supremo (Sala Sexta) en virtud de Sentencia de 16 de octubre de 1981; c) contra esta Sentencia interpuso recurso de revisión, invocando la causa del art. 1796, núm. 1 de la Ley de Enjuiciamiento Civil, citando como documento recobrado detenido por fuerza mayor una diligencia incorporada a una demanda deducida por el mismo interesado y tramitada y resuelta por el Magistrado de Trabajo núm. 3 de Madrid; d) el Tribunal Supremo declaró improcedente la revisión porque no procede contra las Sentencias de casación, y además el documento, aparte de su inutilidad, no es de los que dice el art. 1796.1.ª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amparo se funda en la presunta violación de los arts. 14, 24, 20, 21, 22 y 28 de la Constitución Española y solicita la nulidad de la Sentencia de revisión por presunta contradicción entre las Sentencias de casación que pusieron fin a los procesos laborales iniciados ante las Magistraturas de Trabajo núms. 9 y 3 de Madrid, y se reconozcan los indicados derechos o, subsidiariamente, se obligue a la Sala Sexta a dictar nueva Sentencia en la que se clarifique si se ha comunicado o no la carta de despido, declarando la competencia para conocer de la demanda bien la Magistratura de Trabajo núm. 9 o bien la Magistratura núm. 3, según como se resuelva el tema de la comunicación del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mismo recurrente, el 16 de diciembre de 1981, había interpuesto recurso de amparo contra la Sentencia del Tribunal Supremo de 16 de octubre de 1981, antes indicada, en las que se alegaron iguales fundamentos fácticos y jurídicos y que terminó por Sentencia de 12 de mayo de 1982 (número 21/1982), denegatoria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29 de junio del año actual se abrió el trámite de inadmisión por la causa del art. 50.2 c) de la Ley Orgánica del Tribunal, y en plazo se presentaron alegaciones por el recurrente, diciendo que la anterior Sentencia del Tribunal Constitucional no era sustancialmente igual (sic) a las cuestiones ahora planteadas; que dicha Sentencia no resolvió todos los problemas ahora planteados, y sólo resolvió en relación con una Sentencia de casación una cuestión concreta; que ahora se trata de dos Sentencias de casación contradictorias y que dichas Sentencias en declaraciones fácticas contradictorias se le deniega la tutela jurisdiccional efectiva y se le origina indefensión, porque ninguna de dichas Sentencias entra en el fondo. El Ministerio Fiscal interesó que se declare la inadmisibilidad del recurso por concurrir la causa del art. 50.2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menester, para precisar el objeto del presente amparo, decir que la demanda deducida ahora no se dirige, aunque otra cosa sea el montaje formal que hace el recurrente, contra la Sentencia que conociendo de un llamado recurso de revisión, amparado en la cita del núm.  1 del art.  1796 de la Ley de Enjuiciamiento Civil, pronunció el Tribunal Supremo el 28 de abril último, pues ni las fundamentaciones fácticas y las invocaciones constitucionales, ni el petitum en que se condensa lo que el recurrente pretende, se articulan para acusar a aquélla de violación constitucional y solicitar su anulación por haber incidido, en el juicio de revisión, en alguna violación constitucional que reclame alguno de los pronunciamientos que dice el artículo 55 de la Ley Orgánica de este Tribunal. La revisión se suscitó acudiendo a la causa concreta del art. 1796.1.ª y el Tribunal Supremo, después de recordar el defectuoso planteamiento de la revisión, puesto que se dirigió contra Sentencia resolutoria de casación y no contra la de instancia, contraviniendo lo que dispone el art. 189 de la Ley Procesal Laboral, y no se dirige a obtener un juicio rescisorio, entró en el análisis de la concreta causa invocada para fundar la revisión, resolviendo que ni reunía las exigencias del mencionado art. 1796 en cuanto al carácter de documento recobrado, detenido por fuerza mayor u obra de la otra parte, ni tenía la significación de documento decisivo, requerido también por dicho precepto para que pueda prosperar la revisión.  Pues bien, contra este juicio del Tribunal Supremo, no se opone alegación alguna, pues lo que en la demanda y en el ulterior escrito se sostiene es que la indicada Sentencia no resolvió la que el recurrente cree es una contradicción entre Sentencias pronunciadas en casación, una la de 16 de octubre de 1981, objeto de amparo en el proceso terminado por Sentencia pronunciada por esta Sala el 12 de mayo de 1982 (núm. 21/1982) y otra la de 6 de octubre de 1980, recurrida en revisión y desestimada por Sentencia también de 28 de abril del año actual. Propiamente la contradicción que dice el recurrente como contradicción en el factum de las Sentencias de instancia se imputa a éstas Sentencias y no a las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observación que suscita el análisis que acabamos de hacer es que el tema que ahora se plantea -en la identidad de todos sus elementos definidores- es el mismo objeto del proceso de amparo seguido con el número 400/1981, y al que puso fin la Sentencia de esta Sala de 12 de mayo de 1982, pues ahora con idéntico fundamento se articula igual petición que en el anterior proceso de amparo, sin que la petición eventual que se adiciona al Suplico de la demanda del presente proceso de amparo con igual antecedente y dirigida, en definitiva, a obtener la rescisión de unas Sentencias firmes, altere la identidad de los supuestos debatidos en aquél y en el presente supuesto.  La causa optativa a la admisión de ulterior recurso que recoge el art.  50.2 c) de la Ley Orgánica de este Tribunal y que en el presente caso concurre en la más rigurosa de las identidades de la cosa juzgada, innecesarias, por lo demás, en la fórmula más abierta del mencionado precepto, justifica que concluyamos con una declaración de inadmisibilidad.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promovido por don José Fernández Cabado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septiembre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