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Marqués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Marqués García recurre en amparo constitucional en demanda de nulidad de la Sentencia de la Audiencia Provincial de León de 13 de diciembre de 1982 y contra el Auto de la Sala Segunda del Tribunal Supremo dictado en el recurso de casación interpuesto por él contra aquélla y fechado a 27 de mayo de 1983, por entender que en ambas resoluciones se han violado sus derechos consagrados en los párrafos primero y segundo del art.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sumario 18/1981, instruido por el Juzgado de Instrucción núm. 2 de los de Ponferrada, la Audiencia Provincial de León condenó al hoy recurrente y a otras personas como autor criminalmente responsable de un delito de robo acompañado de violación y de una falta por daños. El recurrente sostiene que él no tuvo acceso carnal con la violada y que así se infería tanto del Auto de procesamiento como del resultando de hechos probados de la Sentencia. Recurrió por ello en casación, pero el Auto del Tribunal Supremo antes citado decretó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 ahora demanda de amparo por entender que se le condena por un hecho que no ha cometido, «infringiéndose así el principio de que nadie puede ser condenado por algo que no ha cometido», así como otros «principios» del art. 24 de la C. E., pues el Auto de inadmisión del Tribunal Supremo «crea una indefensión en mi representado haciéndole soportar una condena por hechos no cometidos», por lo que dicho Auto «no ha respetado el derecho de defensa de la parte interesada y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20 de julio de 1983, manifestó al recurrente la posible existencia en su caso de las siguientes causas de inadmisión: 1.ª la del art. 50.1 b) en relación con el art. 49.2 b) de la LOTC; 2.ª la del art. 50.1 b) en relación con el art. 44.1 c); 3.ª la del art.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correspondiente al trámite del art. 50 de la LOTC, abierto en la providencia antes citada, el recurrente, refiriéndose a la primera causa de inadmisibilidad, repite que la Sentencia de la Audiencia viola el art. 25 (sic) de la Constitución y remite testimonio de la citada Sentencia; a propósito de la causa segunda reitera su opinión de que el Auto del Tribunal Supremo viola el art. 24 de la C. E.; en relación con la tercera causa insiste en que el Auto del Tribunal Supremo, al no admitir el recurso de casación «produce una clara indefensión de mi representado. Por todo ello pide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su escrito de alegaciones dentro del mismo trámite, pide la inadmisión de acuerdo con los arts. 50.1 b), 44.1 c), 50.2 b) y 86.1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defecto subsanable del art.  49.2 b) en relación con el 50.1 b) de la LOTC quedó subsanado por la aportación del recurrente en el trámite de admisibilidad del testimonio de la Sentencia impugnada, con lo cual desaparece la primera de las tres causas indicadas como posibles en la providencia de 20 de julio.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la causa de inadmisión del art. 44.1 c) en relación con el 50.1 b), pues es evidente que el recurrente no ha demostrado y ni siquiera ha afirmado haber invocado en el momento procesal oportuno las violaciones de sus derechos fundamentales causadas por la Sentencia de la Audiencia, pues según él el hecho de haber sido condenado por hechos no cometidos en clara contradicción entre fallo y resultando de dicha Sentencia violaba sus derechos constitucionalizados en el art. 24 de la Constitución. Al preparar el recurso de casación debió hacerlo constar así para que el Tribunal ad quem tuviera ocasión de ponderar tal alegación antes de pronunciarse por la admisión o inadmisión de su recurso. Como no lo hizo incumplió el requisito del art.  44.1 c) y, por consiguiente, su demanda de amparo ya no puede ser admitida en cuanto a la violación imputada a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aun en el supuesto de que no se hubiera incurrido (que sí se ha incurrido) en la causa de inadmisión que acabamos de apreciar, es innegable que concurre la del art.  50.2 b) y ésta en relación tanto con la impugnación de la Sentencia de la Audiencia como en lo concerniente al Auto del Tribunal Supremo.  El problema que plantea el recurrente en relación con la Sentencia de la Audiencia consiste en la interpretación del artículo 501.2 del Código Penal («... cuando el robo fuere acompañado de violación... ») en relación con la pluralidad de autores regulada en el art. 14 del mismo Código. A ese respecto, el Considerando primero de la Sentencia, aun afirmando que el hoy recurrente en amparo «por miedo a ser reconocido, ya que la fuerte luz de las linternas tenían deslumbrados a los novios, se ausentó momentáneamente hasta que terminaron y volvió a recogerlos en su coche», entiende que los cuatro procesados fueron «autores típicos y responsables punitivamente del ilícito de que son acusados». Se trata, pues, de un problema de jurisdicción penal del que con arreglo al art. 117.3 de la C. E. corresponde conocer a los órganos competentes del poder judicial, pero no a este Tribunal, que ni es una tercera instancia ni en ningún caso puede entrar a conocer de los hechos que dieron lugar al proceso [art. 44.1 b) de la LOTC].  Por lo que concierne al Auto del Tribunal Supremo, es claro que la indefensión de que se queja el recurrente consiste pura y simplemente en el hecho de que no se admitiera su recurso, de modo que ello equivale a pensar que todo recurso debe ser admitido por el órgano ad quem para no incurrir en violación del art.  24 de la C. E.  Tan absurda interpretación no puede ser aceptada.  El Tribunal Supremo razonó en términos de derecho su resolución apreciando que no concurría el supuesto del art.  849.2 de la Ley de Enjuiciamiento Criminal, y este Tribunal ni entra en el análisis de la legislación ordinaria ni percibe en este caso la más remota o posible violación de los derechos constitucionales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con lo cual carece ya de objeto pronunciarse sobre la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