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«Sánchez Villanueva Construcciones, S.  A.», contra actos del Ayuntamiento de Santiago de Compostela y del Gobernador Civil de La Coruña.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junio del año actual, el Procurador don Argimiro Vázquez Guillén, en nombre de «Sánchez Villanueva Construcciones, S. A.», presentó escrito ante este Tribunal Constitucional, promoviendo recurso de amparo contra acto del Alcalde de Santiago de Compostela de 3 de mayo de 1978 y otro del Gobernador Civil de La Coruña de 10 de julio del mismo año, que anulados por la Sala de lo Contencioso-administrativo de la Audiencia Territorial de La Coruña en virtud de Sentencia de 2 de abril de 1981, quedaron restablecidos al revocar el Tribunal Supremo, Sala Cuarta, por Sentencia 13 de abril del año actual la de la Audiencia Territorial. Sostuvo el recurrente que contra esta última Sentencia interpuso en su día recurso de revisión, pendiente de decisión en la actualidad, y que interponía el recurso de amparo ad cautelam, que fundaba en la violación por los actos recurridos de lo dispuesto en el art. 24 y en le art. 25 de la Constitución Española (C. E.) aparte otras infracciones de que acusa a la citada resolución, pero sin referirla a precepto constitucional. Sostuvo el recurrente que se violaba el art. 24, en su párrafo primero, por no haberse respetado en la actuación precedente de la decisión administrativa los principios de audiencia y de contradicción, y el mismo artículo, en su párrafo segundo, por violarse el derecho a la presunción de inocencia; y en cuanto a la invocación del art. 25, se hace para sostener que la aplicación del artículo 38 del Reglamento de Actividades Molestas por el Ayuntamiento de Santiago de Compostela, entraña una violación del principio de legalidad y del principio non bis in idem, aparte de hacer otras invocaciones que no se concretan en precisas violaciones del art. 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del 28 de septiembre pasado, puso de manifiesto al recurrente y al Ministerio Fiscal, la posible existencia de los siguientes motivos de inadmisión: 1.° El del art. 50.1 b) en relación con el 43.1, ambos de la Ley Orgánica de este Tribunal, por existir un recurso pendiente. 2.° El del art. 50.2 b) de la misma Ley Orgánica, por cuanto la demanda pudiera carecer manifiestamente de contenido que justifique una decisión por parte del Tribunal Constitucional. Concediéndose un plazo de diez días para alegaciones al recurrente y al Ministerio Fiscal, las cuales fueron presentadas y concretadas las de este último a que, efectivamente, concurren la primera de aquellas causas o motivos de inadmisión, puesto que el propio recurrente había acudido previamente al recurso de revisión ante la jurisdicción contencioso-administrativa, recurso, al decir de aquél, pendiente de decisión, y en cuanto a la segunda, que no podía formular alegaciones puesto que desconocía el Ministerio Fiscal el contenido de las resoluciones recurridas. El recurrente dijo, en cuanto a la primera de las indicadas causas de inadmisión, que la revisión es un recurso extraordinario, de motivos tasados, no susceptibles para hacer valer los articulados en el amparo, y en cuanto a lo segundo que desde el momento que había alegado los arts. 24 y 25 de la C. E., en relación con los principios que indica, la demanda tenía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49.1 de la Ley Orgánica de este Tribunal (LOTC) impone al que demanda de amparo la carga de precisar la pretensión que se ejercita en sus elementos configuradores que permitan en la fase de admisión inferior, en este aspecto, las sustantivas exigencias de admisibilidad que tienen su expresión legal en los distintos apartados del art. 50.2 de la misma LOTC, y es, además, el propio art.  49, ahora en el apartado 2 b) el que establece como requisito que, cumplido, permita en la misma indicada fase de admisión, analizar con conocimiento de causa si la demanda es admisible, el deber de aportar la copia de la resolución recurrida, que es, en el caso del art. 43, el acto procedente de la autoridad, u órgano, integrado en el aparato ejecutivo.  Son, por lo demás, estas exigencias las que acotaran, desde la perspectiva del demandante, la pretensión sobre la que, caso de admitirse, recaerá la Sentencia.  Ha sido preciso decir esto, porque el demandante, con patente descuido de sus cargas procesales, no ha cumplido lo que dispone el art.  49 en sus apartados 1 y 2 b) de la LOTC, dificultando así -como acusa el Ministerio Fiscal-, el análisis de la demanda dentro de la introducción ex officio de la contradicción respecto de la causa del artículo 50.2 b), puesto que es menester saber cuál es el contenido del acto que se reputa lesivo, y aun el mismo acto, y cuál es el alcance que en sede judicial tuvo la pretensión, en la vía a la que se remite el art.  43.1 de la LOTC, dentro de lo que dispone el art. 53.2 de la C. E., que, por ser previa, debe versar por sí -o también con otras fundamentaciones- sobre lo que luego se lleva al recurso de amparo constitucional, porque sólo entendiéndolo así cumple la judicial la función de vía previa a la que -en una primera línea- se atribuye la defensa jurisdicional de los derechos y libertades públicas.  Con ser estos motivos, configuradores de la causa de inadmisión del art.  50.1 b), si bien subsanables, no se precisan más dilaciones para dar respuesta a lo que dentro de la fase que dice el citado art. 50, procede, porque el propio recurrente ha dicho que -por su propia inaciativa- el iter jurisdiccional no está cerrado, aunque ello sea por un recurso de corte extraordinario, cual es el de revisión, que tiene en el art.  102 de la Ley de la Jurisdicción Contencioso-administrativa su régimen, lo que es obstáculo a la admisión del recurso de amparo que aquí se ha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respecto del indicado recurso de revisión, el demandante ha descuidado su deber de colaboración a la realización de la justicia, pues ni ha precisado cuáles son los motivos que fundan tal recurso dentro de la enumeración que respecto de causas de muy variada naturaleza se contiene en el antes citado art.  102, ni ha explicado, como debiera, por qué respecto de una Sentencia cuya rescisión se ha instado por el recurrente, se acude ahora -pendiente el juicio de revisión, según parece- a este proceso con pretensión anulatoria, en una patente -y perturbadora- interferencia de lo que, por la sola voluntad del recurrente, se ha residenciado en vía jurisdiccional, prolongando una vía, que si bien no es menester agotar, al menos cuando la revisión no es instrumento apropiado para satisfacer la pretensión respecto de derechos susceptibles de protección constitucional (nos referimos a los que se anuncian en el art. 41 de la LOTC), sí hace inviable la vía de amparo en tanto pende la revisión, porque voluntariamente el demandante se ha colocado en esta situación. De este modo, se ha obstaculizado por la sola decisión del demandante el acceso al presente recurso de amparo y, por ello, concurre la causa de inadmisión del art. 50.1 b), en relación con el art. 43.1 de aquella Ley, lo que hace, en un análisis ajustado a la lógica procesal, que no proceda estudiar el otro motivo (el del artículo 50.2 b) sobre el que delimitó el debate a los efectos de admisión, aunque no es superfluo decir que no basta -como parece entender el recurrentela cita de unos preceptos constitucionales y lo que, según el modo de interpretarlos a juicio de aquél, se colige de ellos en lo que atañe a unas reglas procesales y a unas reglas sustantivas, para conferir a la demanda contenido constitucional.  Esto se inferirá de una responsable articulación de la pretensión dentro del marco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Bien se infiere de cuanto se ha dicho en los fundamentos precedentes una negligencia en la formulación del amparo que, al menos, debe comportar las consecuencias condenatorias en la más benigna de sus previsiones que dice el art. 95 de la LOTC, y que se concretan en la imposición de las costas, pues es temerario el que con transgresión de elementales contenidos procesales promueve un recurso que, una diligencia mínima, hubiera aconsejado no hacerlo, al menos en la forma descuidada con que se ha hecho.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no admite el recurso de amparo promovido por «Sánchez Villanueva Construcciones, S.  A.», imponiendo al demandante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