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Natividad Álvarez Guijarro formuló en su día demanda ante la Magistratura de Trabajo n° 3 de las de Madrid en solicitud de pensión de viudedad al amparo de la Ley 1/80 de 4 de enero. Aunque la Sentencia de Magistratura le fue favorable, el Tribunal Central de Trabajo en la suya de 6 de marzo de 1983, acogió el recurso de suplicación que el Instituto Nacional de la Seguridad Social interpuso contra la resolución de la instancia. Contra la Sentencia del T.C.T.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 de junio admitió el recurso y acordó que se pidiesen las correspondientes actuaciones judiciales al amparo del artículo 51 de la LOTC. Recibidas éstas y personado el INSS, la misma Sección por providencia de 13 de julio abrió el trámite de alegaciones que regula el art. 52 de la Ley Orgánica de este Tribunal. Posteriormente, y tras dictarse por esta Sala su Sentencia de 26 de julio de 1983 en el recurso de amparo 61/83, por providencia de 21 de septiembre acordó dar traslado a las partes de las actuaciones y de la referida Sentencia, por su posible conexión con el presente caso y con el art. 50.2. c LOTC, otorgando plazo común a las partes para que aleguen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recurrente no ha formulado alegaciones. Por su parte el Fiscal General del Estado estima que concurre la indicada causa de inadmisibilidad sobrevenida y pide por tanto la inadmisión del recurso. En el mismo sentido se pronuncia 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lo mismo que el R.A. 61/83 tiene por objeto dilucidar si las viudas, y en concreto la recurrente,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artículo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Natividad Álvarez Guijarro.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