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Esperanza Azpeitia Calvín, en nombre y representación de don Miguel Borja Lozano, don José Miguel Ruiz Pérez Martín y don Gregorio Pérez Borja, interpuso el 28 de junio de 1983 recurso de amparo contra la Sentencia de la Audiencia Provincial de Valladolid de 3 de junio de 1983, que confirmó la de 20 de enero anterior del Juzgado de Instrucción núm. 1 de Valladolid, que los condenaron como autores de un delito de juegos ilícitos a dos meses arresto mayor y 40.000 pesetas de multa, por estimar que tales resoluciones lesionaron el art. 24 de la Constitución. Suplicaba la demanda se dictare Sentencia declarando nulo lo actuado desde el momento de la celebración del juicio oral ante el Juzgado, así como las indicadas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parte a la Procuradora en la representación indicada, y poniendo de manifiesto la posible presencia de la causa de inadmisión de carecer la demanda manifiestamente de contenido constitucional, que exigiera una decisión por parte del Tribunal [art. 50.2 b) de la Ley Orgánica del Tribunal Constitucional (LOTC)], concediendo un plazo a la parte actora y al Ministerio Fiscal para que alegaren sobre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con la demanda de amparo se pretendía dejar sin efecto la interpretación y valoración de los hechos que hicieron los órganos judiciales comunes, por lo que estimó procedía estimar la presencia de la causa de inadmisión propuesta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formuló escrito en el que se desistía y se apartaba del recurso, ordenando la Sección que se ratificaron las partes en dicho escrito, lo que hicieron ante el Juzgado de Primera Instancia de Valladolid núm. 2, los tres recurrentes, manifestando su voluntad de desistir de la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como manifestación de voluntad de la parte promovente de un proceso de abandonar la pretensión ejercitada, ha de aceptarse en el caso presente, porque esa decisión de quienes fueron sujetos activos de lapretensión es suficiente a tal fin, al no existir razones de interés público que aconsejaren la continuidad del proceso constitucional hasta finalizar, luego de llevar a cabo la total tramitación, ni podía haber existido tampoco oposición alguna a tal abandono de la pretensión, porque el delito de juegos ilícitos ha dejado de serlo en la reforma del Código Penal realizada por la Ley Orgánica 8/1983, de 25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tener por desistido a los actores de este proceso de amparo, dándose el mismo por concluso, y archivándose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