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juridicas de la extinguida Diputación Provincial de Madrid, y por tanto en la que sirve de base al presente proceso constitucional, presentó recurso de amparo contra la Sentencia del Tribunal Central de Trabajo de 3 de junio de 1983 por la violación que a su juicio ha producido esta Sentencia en el derecho fundamental a no ser discriminada una persona por razón de sexo, derecho protegido por los artículos 14 y 35.1 de la Constitución.</w:t>
      </w:r>
    </w:p>
    <w:p w:rsidRPr="00C21FFE" w:rsidR="00AD51A7" w:rsidRDefault="008777C4">
      <w:pPr>
        <w:rPr/>
      </w:pPr>
      <w:r w:rsidRPr="&lt;w:rPr xmlns:w=&quot;http://schemas.openxmlformats.org/wordprocessingml/2006/main&quot;&gt;&lt;w:lang w:val=&quot;es-ES_tradnl&quot; /&gt;&lt;/w:rPr&gt;">
        <w:rPr/>
        <w:t xml:space="preserve">Con fechas 2 y 16 de abril de 1982 doña Concepción Carpintero Redondo y otras trabajadoras interpusieron ante la Magistratura de Trabajo número 17 de las de Madrid demanda contra la Excelentisima Diputación pidiendo se declarara su derecho a seguir rigiéndose en su jornada laboral por el régimen para ellas establecido desde 1977, y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12 de octubre de 1982 estimó la pretensión de las actoras y declaró su derecho a seguir desempeñando la jornada de 27 horas semana les y 1.314 horas al año, esto es, las que venían cumpliendo antes del convenio de 1981. La Diputación recurrió contra esta Sentencia en suplicación ante el Tribunal Central de Trabajo, pero éste, en su indicada sentencia de 3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LOTC), pide la declaración de nulidad de la Sentencia del T.C.T. así como también la de la Magistratura y que se le reconozca a ella su derecho a aplicar al personal femenino de turno de noche el horario establecido en el artículo 23.c del Convenio ya citado, "como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50.1.b) de la LOTC en relación con el 46.1.b) y el 44.c de la Ley Orgánica de este Tribunal (LOTC) por falta de legitimación de la Comunidad demandante y b) la del 50.2.b) LOTC. Al mismo tiempo abrió el plazo común para alegaciones del artículo 50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LOTC, como por el artículo 162.1.b) CE, que habla de "interés legítimo", expresión que este Tribunal ha declarado que es más amplia que la de interés directo de la Ley Reguladora de la Jurisdicción Contencioso 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que a juicio de la demandante ha sido violado por las Sentencias impugnadas es, según sus propias palabras,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