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jurídicas de la extinguida Diputación Provincial de Madrid, y por tanto en la que sirve de base al presente proceso constitucional, presentó recurso de amparo contra la Sentencia del Tribunal Central de Trabajo de 1 de junio de 1983, por la violación que a su juicio ha producido esta Sentencia en el derecho fundamental a no ser discriminada una persona por razón de sexo, derecho protegido por los artículos 14 y 35.1 de la Constitución.</w:t>
      </w:r>
    </w:p>
    <w:p w:rsidRPr="00C21FFE" w:rsidR="00AD51A7" w:rsidRDefault="008777C4">
      <w:pPr>
        <w:rPr/>
      </w:pPr>
      <w:r w:rsidRPr="&lt;w:rPr xmlns:w=&quot;http://schemas.openxmlformats.org/wordprocessingml/2006/main&quot;&gt;&lt;w:lang w:val=&quot;es-ES_tradnl&quot; /&gt;&lt;/w:rPr&gt;">
        <w:rPr/>
        <w:t xml:space="preserve">Con fecha 30 de abril de 1982 doña Mª Jesús Fernández Martínez y otras trabajadoras interpusieron ante la Magistratura de Trabajo número 5 de las. de Madrid demanda contra la Excelentísima Diputación pidiendo se declarara su derecho a seguir rigiéndose en su jornada laboral por el régimen para ellas establecido desde 1977, y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24 de noviembre de 1982 estimó la pretensión de las actoras y declaró su derecho a seguir desempeñando la jornada de 27 horas semanales y 1.314 horas al año, esto es, las que venían cumpliendo antes del convenio de 1981. La Diputación recurrió contra esta sentencia en suplicación ante el Tribunal Central de Trabajo, pero éste, en su indicada sentencia de 1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LOTC), pide la declaración de nulidad de la Sentencia del T.C.T. así como también la de la Magistratura y que se le reconozca a ella su derecho a aplicar al personal femenino de turno de noche el horario establecido en el artículo 23.c del Convenio ya citado, "como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 .b) de la LOTC en relación con el 46.1 .b) y el 44.c) de la Ley Orgánica de este Tribunal (LOTC) por falta de legitimación de la Comunidad demandante y b) la del 50.2.b) LOTC. Al mismo tiempo abrió el plazo común para alegaciones del artículo 50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LOTC, como por el artículo 162.1.b) CE, que habla de "interés legítimo", expresión que este Tribunal ha declarado que es más amplia que la de interés directo de la Ley Reguladora de la Jurisdicción Contencioso-Administrativa.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que a juicio de la demandante ha sido violado por las Sentencias impugnadas es, según sus propias palabras,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