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enero de 1984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el recurso de amparo interpuesto por doña María Teresa Calvo Leonor, doña Angeles Inés Casado Carrero, doña Eloísa López de Sancho y Sánchez, doña Carmen Sara González Lombardero y doña Erena López-Malla García.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providencia de 5 de octubre de 1983 se abrió el trámite de alegaciones que regula el art. 52 de la Ley Orgánica de este Tribunal, la parte demandante pidió el recibimiento a prueba del recurso indicando la materia sobre que habría de versar.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De dicha petición se dio traslado a las otras partes, habiendo mostrado su conformidad el Abogado del Estado y su no oposición la representación de las codemandadas; el Ministerio Fiscal expone su parecer de que no procede el recibimiento a prueba pedido.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No habiéndose opuesto formalmente las otras partes a la petición de la demandante y no infiriéndose su impertinencia en relación al objeto litigioso, aparece procedente acceder a lo pedido en los términos que se indican en la parte dispositiva de esta resolución.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Por lo expuesto, la Sección acuerda que, con citación de las partes, se dirija comunicación a la Dirección General de Tráfico interesándole certificación o fotocopia adverada de los siguientes documentos: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a) Escrito-circular 113/1980, de 24 de septiembre, sobre concurso de traslado de funcionarios de la Escala Ejecutiva.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b) Escrito-circular 136/1980, de 21 de noviembre, sobre resolución del concurso a que se refiere el apartado anterior.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c) Escrito-circular 18/1981 sobre resolución de concurso.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Se acuerda asimismo no haber lugar a las restantes pruebas.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once de enero de mil novecientos ochenta y cuatro.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