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diciembre de 1983 tuvo entrada en este Tribunal escrito del Procurador de los Tribunales don Manuel Infante Sánchez-Torres en nombre y representación de don Salvador Martí Atienza por el que interponía recurso de amparo contra la Sentencia de la Sala Segunda del Tribunal Supremo de 12 de noviembre de 1983 (recurso 108/1982) por la que se desestima el recurso de casación presentado por el solicitante del amparo contra la Sentencia de la Audiencia Provincial de Teruel de 6 de noviembre de 1981. En esta Sentencia se le condenaba a la pena de dieciséis años, cuatro meses y un día de reclusión menor con otros pronunciamientos por el delito de malversación de caudales públicos. El solicitante del amparo pide que se anule la citada Sentencia del Tribunal Supremo y se le reconozca el derecho a que no le sea impuesta pena superior a la de arresto mayor, asimismo pide por otrosí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enero de 1984 la Sección Primera de este Tribunal acordó conceder un plazo común de diez días al Ministerio Fiscal y al recurrente para que formulasen alegaciones sobre la posible existencia del siguiente motivo de inadmisión: carecer la demanda manifiestamente de contenido que justifique una decisión por parte del Tribunal Constitucional [art. 50.2 b) de la LOTC]. Formuladas las correspondientes alegaciones, la misma Sección Primera dictó Auto de fecha 11 de julio del presente año por el que acordó admitir a trámite el recurso y entre otros extremos abrir el incidente de suspensión formándose la correspondiente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julio del corriente año la Sección Primera de este Tribunal acordó formar la pieza separada de suspensión y de acuerdo con lo dispuesto en el art. 56.2 de la LOTC, otorgar un plazo común de tres días al Ministerio Fiscal y al recurrente, para que aleguen lo procedente sobre esa cuestión. En sus correspondientes escritos, el Ministerio Fiscal se opuso a la suspensión citada y el recurrente insistió en que se ordenase tal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la Sala que conozca de un asunto de amparo, suspenderá de oficio o a instancia de parte, la ejecución del acto de los Poderes Públicos por razón del cual se reclame el amparo constitucional cuando la ejecución hubiere de ocasionar un perjuicio que haría perder al amparo su finalidad. Podrá, no obstante, denegarse la suspensión cuando de ésta puede seguirse perturbación grave de los intereses generales o de los derechos fundamentales o libertades públicas de un tercero.  En el presente caso, el recurrente no solicita que se anule la Sentencia impugnada sin imponerle pena alguna, sino que se modere la impuesta por considerarla desproporcionada.  Por ello, en la hipótesis de que se concediese el amparo solicitado, el recurrente tendría que cumplir previsiblemente una pena de prisión, según se dice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amparo en ese supuesto no perdería su finalidad, que sería el acortamiento y no la anulación total de la pena de privación de libertad que se le impuso.  A esta consideración hay que añadir que, como repetidas veces ha dicho este Tribunal, existe un interés general en el cumplimiento de las resoluciones judiciales, que en principio y salvo que las circunstancias concretas del caso aconsejen otra decisión, han de ser mantenidas en tanto no se resuelve sobre la estimación de los recursos de amparo dirigidos contra ellos. Y puesto que en el presente caso no se dan esas circunstancias especiales, máxime teniendo en cuenta la finalidad específica del amparo solicitado consistente, como se ha dicho, en la reducción y no la anulación de la pena impuesta, hay que concluir que no procede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ha acordado denegar la suspensión solicitada de la pena impuesta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